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5131" w:rsidRPr="00553B70" w:rsidRDefault="00C11FF5" w:rsidP="007A64DB">
      <w:pPr>
        <w:spacing w:before="240" w:after="280"/>
        <w:rPr>
          <w:rFonts w:ascii="Arial" w:hAnsi="Arial" w:cs="Arial"/>
        </w:rPr>
      </w:pPr>
      <w:r w:rsidRPr="00553B70">
        <w:rPr>
          <w:rFonts w:ascii="Arial" w:hAnsi="Arial" w:cs="Arial"/>
          <w:noProof/>
        </w:rPr>
        <w:drawing>
          <wp:inline distT="0" distB="0" distL="0" distR="0" wp14:anchorId="44BF268D" wp14:editId="7436BC2C">
            <wp:extent cx="6568440" cy="731520"/>
            <wp:effectExtent l="0" t="0" r="3810" b="0"/>
            <wp:docPr id="2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
                    <a:srcRect/>
                    <a:stretch>
                      <a:fillRect/>
                    </a:stretch>
                  </pic:blipFill>
                  <pic:spPr>
                    <a:xfrm>
                      <a:off x="0" y="0"/>
                      <a:ext cx="6568440" cy="731520"/>
                    </a:xfrm>
                    <a:prstGeom prst="rect">
                      <a:avLst/>
                    </a:prstGeom>
                    <a:ln/>
                  </pic:spPr>
                </pic:pic>
              </a:graphicData>
            </a:graphic>
          </wp:inline>
        </w:drawing>
      </w:r>
      <w:r w:rsidRPr="00553B70">
        <w:rPr>
          <w:rFonts w:ascii="Arial" w:hAnsi="Arial" w:cs="Arial"/>
        </w:rPr>
        <w:t> </w:t>
      </w:r>
      <w:bookmarkStart w:id="0" w:name="_GoBack"/>
      <w:bookmarkEnd w:id="0"/>
    </w:p>
    <w:p w:rsidR="00F85131" w:rsidRPr="00553B70" w:rsidRDefault="007A64DB">
      <w:pPr>
        <w:rPr>
          <w:rFonts w:ascii="Arial" w:hAnsi="Arial" w:cs="Arial"/>
        </w:rPr>
      </w:pPr>
      <w:hyperlink r:id="rId7">
        <w:r w:rsidR="00C11FF5" w:rsidRPr="00D36CC0">
          <w:rPr>
            <w:rFonts w:ascii="Arial" w:eastAsia="Arial" w:hAnsi="Arial" w:cs="Arial"/>
            <w:color w:val="0000FF"/>
            <w:u w:val="single"/>
          </w:rPr>
          <w:t>The Canadian Association for Graduate Studies</w:t>
        </w:r>
      </w:hyperlink>
      <w:r w:rsidR="00C11FF5" w:rsidRPr="00D36CC0">
        <w:rPr>
          <w:rFonts w:ascii="Arial" w:eastAsia="Arial" w:hAnsi="Arial" w:cs="Arial"/>
          <w:color w:val="0000FF"/>
          <w:u w:val="single"/>
        </w:rPr>
        <w:t xml:space="preserve"> </w:t>
      </w:r>
      <w:r w:rsidR="00C11FF5" w:rsidRPr="00D36CC0">
        <w:rPr>
          <w:rFonts w:ascii="Arial" w:eastAsia="Arial" w:hAnsi="Arial" w:cs="Arial"/>
        </w:rPr>
        <w:t>(CAGS) thanks the Minister of Finance and the House of Commons Standing Committee on Finance for this opportunity to express its views on what might be included in the 2017 Federal Budget and policies that will underpin it.</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rPr>
        <w:t>CAGS was founded in 1962 to promote excellence in graduate education.   It does so through advocacy, information sharing, meetings and conferences.  The association brings together 60 Canadian universities with graduate programs as well as other institutions and organization</w:t>
      </w:r>
      <w:r w:rsidR="00A0583A" w:rsidRPr="00D36CC0">
        <w:rPr>
          <w:rFonts w:ascii="Arial" w:eastAsia="Arial" w:hAnsi="Arial" w:cs="Arial"/>
        </w:rPr>
        <w:t>s</w:t>
      </w:r>
      <w:r w:rsidRPr="00D36CC0">
        <w:rPr>
          <w:rFonts w:ascii="Arial" w:eastAsia="Arial" w:hAnsi="Arial" w:cs="Arial"/>
        </w:rPr>
        <w:t xml:space="preserve"> having an interest in graduate studies. We understand that graduate education is instrumental in forming individuals who can apply their knowledge, skills and professionalism to the betterment of society. </w:t>
      </w:r>
    </w:p>
    <w:p w:rsidR="00F85131" w:rsidRPr="00553B70" w:rsidRDefault="00F85131">
      <w:pPr>
        <w:rPr>
          <w:rFonts w:ascii="Arial" w:hAnsi="Arial" w:cs="Arial"/>
        </w:rPr>
      </w:pPr>
    </w:p>
    <w:p w:rsidR="00F85131" w:rsidRPr="00553B70" w:rsidRDefault="00C11FF5" w:rsidP="008A2E87">
      <w:pPr>
        <w:spacing w:before="240" w:after="40"/>
        <w:jc w:val="center"/>
        <w:rPr>
          <w:rFonts w:ascii="Arial" w:hAnsi="Arial" w:cs="Arial"/>
        </w:rPr>
      </w:pPr>
      <w:r w:rsidRPr="00553B70">
        <w:rPr>
          <w:rFonts w:ascii="Arial" w:hAnsi="Arial" w:cs="Arial"/>
          <w:noProof/>
        </w:rPr>
        <w:drawing>
          <wp:inline distT="0" distB="0" distL="0" distR="0" wp14:anchorId="4FFB5A65" wp14:editId="78C7AF34">
            <wp:extent cx="198356" cy="198356"/>
            <wp:effectExtent l="0" t="0" r="0" b="0"/>
            <wp:docPr id="28" name="image2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9.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5668B6BF" wp14:editId="0A3795F5">
            <wp:extent cx="198356" cy="198356"/>
            <wp:effectExtent l="0" t="0" r="0" b="0"/>
            <wp:docPr id="31" name="image3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2.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09B91346" wp14:editId="1C252C4A">
            <wp:extent cx="198356" cy="198356"/>
            <wp:effectExtent l="0" t="0" r="0" b="0"/>
            <wp:docPr id="30" name="image3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5A831C4A" wp14:editId="72E12A48">
            <wp:extent cx="198356" cy="198356"/>
            <wp:effectExtent l="0" t="0" r="0" b="0"/>
            <wp:docPr id="34" name="image3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5.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D988D6A" wp14:editId="2075E7C9">
            <wp:extent cx="198356" cy="198356"/>
            <wp:effectExtent l="0" t="0" r="0" b="0"/>
            <wp:docPr id="33" name="image3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B33068B" wp14:editId="2F8ED9A4">
            <wp:extent cx="198356" cy="198356"/>
            <wp:effectExtent l="0" t="0" r="0" b="0"/>
            <wp:docPr id="37" name="image3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8.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5EE2656" wp14:editId="0C4171FC">
            <wp:extent cx="198356" cy="198356"/>
            <wp:effectExtent l="0" t="0" r="0" b="0"/>
            <wp:docPr id="36" name="image3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7.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87FAFFE" wp14:editId="158F6716">
            <wp:extent cx="198356" cy="198356"/>
            <wp:effectExtent l="0" t="0" r="0" b="0"/>
            <wp:docPr id="40" name="image4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77A195C9" wp14:editId="0CFC398F">
            <wp:extent cx="198356" cy="198356"/>
            <wp:effectExtent l="0" t="0" r="0" b="0"/>
            <wp:docPr id="38" name="image3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9.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745EFE19" wp14:editId="7B46F672">
            <wp:extent cx="198356" cy="198356"/>
            <wp:effectExtent l="0" t="0" r="0" b="0"/>
            <wp:docPr id="39" name="image4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0.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238291C9" wp14:editId="631F9FB6">
            <wp:extent cx="198356" cy="198356"/>
            <wp:effectExtent l="0" t="0" r="0" b="0"/>
            <wp:docPr id="41" name="image4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2.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FB74793" wp14:editId="7541A844">
            <wp:extent cx="198356" cy="198356"/>
            <wp:effectExtent l="0" t="0" r="0" b="0"/>
            <wp:docPr id="42" name="image4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3.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463CA36C" wp14:editId="1F564E03">
            <wp:extent cx="198356" cy="198356"/>
            <wp:effectExtent l="0" t="0" r="0" b="0"/>
            <wp:docPr id="43" name="image4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6A30D274" wp14:editId="6E0699AF">
            <wp:extent cx="198356" cy="198356"/>
            <wp:effectExtent l="0" t="0" r="0" b="0"/>
            <wp:docPr id="44" name="image4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5.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179D745" wp14:editId="2A4436B4">
            <wp:extent cx="198356" cy="198356"/>
            <wp:effectExtent l="0" t="0" r="0" b="0"/>
            <wp:docPr id="45" name="image4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6.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3BF5EF9" wp14:editId="4FAB4DBF">
            <wp:extent cx="198356" cy="198356"/>
            <wp:effectExtent l="0" t="0" r="0" b="0"/>
            <wp:docPr id="46" name="image4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7.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1CF8A444" wp14:editId="09C28645">
            <wp:extent cx="198356" cy="198356"/>
            <wp:effectExtent l="0" t="0" r="0" b="0"/>
            <wp:docPr id="47" name="image4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8.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1E46A270" wp14:editId="16D26A9F">
            <wp:extent cx="198356" cy="198356"/>
            <wp:effectExtent l="0" t="0" r="0" b="0"/>
            <wp:docPr id="48" name="image4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9.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F042200" wp14:editId="1C9941C7">
            <wp:extent cx="198356" cy="198356"/>
            <wp:effectExtent l="0" t="0" r="0" b="0"/>
            <wp:docPr id="20" name="image2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0.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64F5EB58" wp14:editId="49527C83">
            <wp:extent cx="198356" cy="198356"/>
            <wp:effectExtent l="0" t="0" r="0" b="0"/>
            <wp:docPr id="21" name="image2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46B173A5" wp14:editId="20AE64F9">
            <wp:extent cx="198356" cy="198356"/>
            <wp:effectExtent l="0" t="0" r="0" b="0"/>
            <wp:docPr id="22" name="image2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2.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705FBD08" wp14:editId="23E3DD16">
            <wp:extent cx="198356" cy="198356"/>
            <wp:effectExtent l="0" t="0" r="0" b="0"/>
            <wp:docPr id="24" name="image2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1BB46B70" wp14:editId="738A7AEE">
            <wp:extent cx="198356" cy="198356"/>
            <wp:effectExtent l="0" t="0" r="0" b="0"/>
            <wp:docPr id="25" name="image2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5.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2DB984A5" wp14:editId="41226923">
            <wp:extent cx="198356" cy="198356"/>
            <wp:effectExtent l="0" t="0" r="0" b="0"/>
            <wp:docPr id="16" name="image2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3.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7FE8A39F" wp14:editId="1AD9FF94">
            <wp:extent cx="198356" cy="198356"/>
            <wp:effectExtent l="0" t="0" r="0" b="0"/>
            <wp:docPr id="26" name="image2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6.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6C9C844B" wp14:editId="4B8C357F">
            <wp:extent cx="198356" cy="198356"/>
            <wp:effectExtent l="0" t="0" r="0" b="0"/>
            <wp:docPr id="19" name="image2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6.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0E137D23" wp14:editId="1CB45FB0">
            <wp:extent cx="198356" cy="198356"/>
            <wp:effectExtent l="0" t="0" r="0" b="0"/>
            <wp:docPr id="49" name="image3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0.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F85131" w:rsidRPr="00553B70" w:rsidRDefault="00C11FF5">
      <w:pPr>
        <w:spacing w:before="240" w:after="40"/>
        <w:rPr>
          <w:rFonts w:ascii="Arial" w:hAnsi="Arial" w:cs="Arial"/>
        </w:rPr>
      </w:pPr>
      <w:r w:rsidRPr="00D36CC0">
        <w:rPr>
          <w:rFonts w:ascii="Arial" w:eastAsia="Arial" w:hAnsi="Arial" w:cs="Arial"/>
        </w:rPr>
        <w:t xml:space="preserve">There are numerous approaches to addressing the issues mentioned in the questions posed by the Committee. As the organization representing Deans and Senior Administrators of Canada’s graduate schools, CAGS takes this opportunity to address the questions from the point of view of those </w:t>
      </w:r>
      <w:r w:rsidR="00A0583A" w:rsidRPr="00D36CC0">
        <w:rPr>
          <w:rFonts w:ascii="Arial" w:eastAsia="Arial" w:hAnsi="Arial" w:cs="Arial"/>
        </w:rPr>
        <w:t xml:space="preserve">who shape graduate education, </w:t>
      </w:r>
      <w:r w:rsidRPr="00D36CC0">
        <w:rPr>
          <w:rFonts w:ascii="Arial" w:eastAsia="Arial" w:hAnsi="Arial" w:cs="Arial"/>
        </w:rPr>
        <w:t xml:space="preserve">who </w:t>
      </w:r>
      <w:r w:rsidR="00A0583A" w:rsidRPr="00D36CC0">
        <w:rPr>
          <w:rFonts w:ascii="Arial" w:eastAsia="Arial" w:hAnsi="Arial" w:cs="Arial"/>
        </w:rPr>
        <w:t xml:space="preserve">lead </w:t>
      </w:r>
      <w:r w:rsidRPr="00D36CC0">
        <w:rPr>
          <w:rFonts w:ascii="Arial" w:eastAsia="Arial" w:hAnsi="Arial" w:cs="Arial"/>
        </w:rPr>
        <w:t xml:space="preserve">graduate schools and the students who attend them – </w:t>
      </w:r>
      <w:r w:rsidR="00A0583A" w:rsidRPr="00D36CC0">
        <w:rPr>
          <w:rFonts w:ascii="Arial" w:eastAsia="Arial" w:hAnsi="Arial" w:cs="Arial"/>
        </w:rPr>
        <w:t>our future</w:t>
      </w:r>
      <w:r w:rsidR="00801138">
        <w:rPr>
          <w:rFonts w:ascii="Arial" w:eastAsia="Arial" w:hAnsi="Arial" w:cs="Arial"/>
        </w:rPr>
        <w:t xml:space="preserve"> leaders from</w:t>
      </w:r>
      <w:r w:rsidRPr="00D36CC0">
        <w:rPr>
          <w:rFonts w:ascii="Arial" w:eastAsia="Arial" w:hAnsi="Arial" w:cs="Arial"/>
        </w:rPr>
        <w:t xml:space="preserve"> all walks of life</w:t>
      </w:r>
      <w:r w:rsidR="00801138">
        <w:rPr>
          <w:rFonts w:ascii="Arial" w:eastAsia="Arial" w:hAnsi="Arial" w:cs="Arial"/>
        </w:rPr>
        <w:t xml:space="preserve"> working to</w:t>
      </w:r>
      <w:r w:rsidRPr="00D36CC0">
        <w:rPr>
          <w:rFonts w:ascii="Arial" w:eastAsia="Arial" w:hAnsi="Arial" w:cs="Arial"/>
        </w:rPr>
        <w:t xml:space="preserve"> </w:t>
      </w:r>
      <w:r w:rsidR="00A0583A" w:rsidRPr="00D36CC0">
        <w:rPr>
          <w:rFonts w:ascii="Arial" w:eastAsia="Arial" w:hAnsi="Arial" w:cs="Arial"/>
        </w:rPr>
        <w:t>build our</w:t>
      </w:r>
      <w:r w:rsidRPr="00D36CC0">
        <w:rPr>
          <w:rFonts w:ascii="Arial" w:eastAsia="Arial" w:hAnsi="Arial" w:cs="Arial"/>
        </w:rPr>
        <w:t xml:space="preserve"> economy.</w:t>
      </w:r>
    </w:p>
    <w:p w:rsidR="00F85131" w:rsidRPr="00553B70" w:rsidRDefault="00C11FF5">
      <w:pPr>
        <w:spacing w:before="240" w:after="280"/>
        <w:rPr>
          <w:rFonts w:ascii="Arial" w:hAnsi="Arial" w:cs="Arial"/>
        </w:rPr>
      </w:pPr>
      <w:r w:rsidRPr="00D36CC0">
        <w:rPr>
          <w:rFonts w:ascii="Arial" w:eastAsia="Arial" w:hAnsi="Arial" w:cs="Arial"/>
        </w:rPr>
        <w:t>CAGS’ focus is on understanding the current landscape, recognizing the drivers for change and the impact (realized and potential) on graduate education</w:t>
      </w:r>
      <w:r w:rsidRPr="00553B70">
        <w:rPr>
          <w:rFonts w:ascii="Arial" w:hAnsi="Arial" w:cs="Arial"/>
        </w:rPr>
        <w:t>.</w:t>
      </w:r>
      <w:r w:rsidRPr="00D36CC0">
        <w:rPr>
          <w:rFonts w:ascii="Arial" w:eastAsia="Arial" w:hAnsi="Arial" w:cs="Arial"/>
        </w:rPr>
        <w:t xml:space="preserve"> We understand that pedagogy, assessment, learning outcomes and attributes are integral in delivering dynamic, relevant, high</w:t>
      </w:r>
      <w:r w:rsidR="00801138">
        <w:rPr>
          <w:rFonts w:ascii="Arial" w:eastAsia="Arial" w:hAnsi="Arial" w:cs="Arial"/>
        </w:rPr>
        <w:t>-</w:t>
      </w:r>
      <w:r w:rsidRPr="00D36CC0">
        <w:rPr>
          <w:rFonts w:ascii="Arial" w:eastAsia="Arial" w:hAnsi="Arial" w:cs="Arial"/>
        </w:rPr>
        <w:t xml:space="preserve"> quality and high</w:t>
      </w:r>
      <w:r w:rsidR="00801138">
        <w:rPr>
          <w:rFonts w:ascii="Arial" w:eastAsia="Arial" w:hAnsi="Arial" w:cs="Arial"/>
        </w:rPr>
        <w:t>-</w:t>
      </w:r>
      <w:r w:rsidRPr="00D36CC0">
        <w:rPr>
          <w:rFonts w:ascii="Arial" w:eastAsia="Arial" w:hAnsi="Arial" w:cs="Arial"/>
        </w:rPr>
        <w:t>demand graduate education.</w:t>
      </w:r>
    </w:p>
    <w:p w:rsidR="00F85131" w:rsidRPr="00553B70" w:rsidRDefault="00C11FF5">
      <w:pPr>
        <w:rPr>
          <w:rFonts w:ascii="Arial" w:hAnsi="Arial" w:cs="Arial"/>
        </w:rPr>
      </w:pPr>
      <w:r w:rsidRPr="00D36CC0">
        <w:rPr>
          <w:rFonts w:ascii="Arial" w:eastAsia="Arial" w:hAnsi="Arial" w:cs="Arial"/>
        </w:rPr>
        <w:t>Inclusivity, diversity, and access are fundamental values t</w:t>
      </w:r>
      <w:r w:rsidR="00801138">
        <w:rPr>
          <w:rFonts w:ascii="Arial" w:eastAsia="Arial" w:hAnsi="Arial" w:cs="Arial"/>
        </w:rPr>
        <w:t>hat</w:t>
      </w:r>
      <w:r w:rsidR="007A64DB">
        <w:rPr>
          <w:rFonts w:ascii="Arial" w:eastAsia="Arial" w:hAnsi="Arial" w:cs="Arial"/>
        </w:rPr>
        <w:t xml:space="preserve"> </w:t>
      </w:r>
      <w:r w:rsidRPr="00D36CC0">
        <w:rPr>
          <w:rFonts w:ascii="Arial" w:eastAsia="Arial" w:hAnsi="Arial" w:cs="Arial"/>
        </w:rPr>
        <w:t xml:space="preserve">stimulate </w:t>
      </w:r>
      <w:r w:rsidR="00801138">
        <w:rPr>
          <w:rFonts w:ascii="Arial" w:eastAsia="Arial" w:hAnsi="Arial" w:cs="Arial"/>
        </w:rPr>
        <w:t xml:space="preserve">the </w:t>
      </w:r>
      <w:r w:rsidRPr="00D36CC0">
        <w:rPr>
          <w:rFonts w:ascii="Arial" w:eastAsia="Arial" w:hAnsi="Arial" w:cs="Arial"/>
        </w:rPr>
        <w:t xml:space="preserve">rich learning environments and </w:t>
      </w:r>
      <w:r w:rsidR="00801138">
        <w:rPr>
          <w:rFonts w:ascii="Arial" w:eastAsia="Arial" w:hAnsi="Arial" w:cs="Arial"/>
        </w:rPr>
        <w:t xml:space="preserve">the </w:t>
      </w:r>
      <w:r w:rsidRPr="00D36CC0">
        <w:rPr>
          <w:rFonts w:ascii="Arial" w:eastAsia="Arial" w:hAnsi="Arial" w:cs="Arial"/>
        </w:rPr>
        <w:t xml:space="preserve">strong intellectual communities that enable graduate students to thrive. CAGS recognizes that programs and strategies to support student success and development academically, professionally and personally are essential elements in enriching the graduate student experience.  </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rPr>
        <w:t>Graduate education has evolved in the past decade. Enrollments in degree programs have doubled and degrees awarded by Canadian universities have increased by 75%. Credentials have expanded to include graduate diplomas</w:t>
      </w:r>
      <w:r w:rsidR="00801138">
        <w:rPr>
          <w:rFonts w:ascii="Arial" w:eastAsia="Arial" w:hAnsi="Arial" w:cs="Arial"/>
        </w:rPr>
        <w:t>.</w:t>
      </w:r>
      <w:r w:rsidRPr="00D36CC0">
        <w:rPr>
          <w:rFonts w:ascii="Arial" w:eastAsia="Arial" w:hAnsi="Arial" w:cs="Arial"/>
        </w:rPr>
        <w:t xml:space="preserve"> </w:t>
      </w:r>
      <w:r w:rsidR="00801138">
        <w:rPr>
          <w:rFonts w:ascii="Arial" w:eastAsia="Arial" w:hAnsi="Arial" w:cs="Arial"/>
        </w:rPr>
        <w:t>T</w:t>
      </w:r>
      <w:r w:rsidRPr="00D36CC0">
        <w:rPr>
          <w:rFonts w:ascii="Arial" w:eastAsia="Arial" w:hAnsi="Arial" w:cs="Arial"/>
        </w:rPr>
        <w:t>he number</w:t>
      </w:r>
      <w:r w:rsidR="008A2E87" w:rsidRPr="00D36CC0">
        <w:rPr>
          <w:rFonts w:ascii="Arial" w:eastAsia="Arial" w:hAnsi="Arial" w:cs="Arial"/>
        </w:rPr>
        <w:t xml:space="preserve"> </w:t>
      </w:r>
      <w:r w:rsidRPr="00D36CC0">
        <w:rPr>
          <w:rFonts w:ascii="Arial" w:eastAsia="Arial" w:hAnsi="Arial" w:cs="Arial"/>
        </w:rPr>
        <w:t xml:space="preserve">of professional Master’s and Doctoral </w:t>
      </w:r>
      <w:r w:rsidR="005C5947" w:rsidRPr="00D36CC0">
        <w:rPr>
          <w:rFonts w:ascii="Arial" w:eastAsia="Arial" w:hAnsi="Arial" w:cs="Arial"/>
        </w:rPr>
        <w:t>d</w:t>
      </w:r>
      <w:r w:rsidRPr="00D36CC0">
        <w:rPr>
          <w:rFonts w:ascii="Arial" w:eastAsia="Arial" w:hAnsi="Arial" w:cs="Arial"/>
        </w:rPr>
        <w:t>egree programs continue</w:t>
      </w:r>
      <w:r w:rsidR="00801138">
        <w:rPr>
          <w:rFonts w:ascii="Arial" w:eastAsia="Arial" w:hAnsi="Arial" w:cs="Arial"/>
        </w:rPr>
        <w:t>s</w:t>
      </w:r>
      <w:r w:rsidRPr="00D36CC0">
        <w:rPr>
          <w:rFonts w:ascii="Arial" w:eastAsia="Arial" w:hAnsi="Arial" w:cs="Arial"/>
        </w:rPr>
        <w:t xml:space="preserve"> to grow</w:t>
      </w:r>
      <w:r w:rsidR="002D4B4A" w:rsidRPr="00D36CC0">
        <w:rPr>
          <w:rFonts w:ascii="Arial" w:eastAsia="Arial" w:hAnsi="Arial" w:cs="Arial"/>
        </w:rPr>
        <w:t xml:space="preserve"> in response to student and societal demand</w:t>
      </w:r>
      <w:r w:rsidRPr="00D36CC0">
        <w:rPr>
          <w:rFonts w:ascii="Arial" w:eastAsia="Arial" w:hAnsi="Arial" w:cs="Arial"/>
        </w:rPr>
        <w:t xml:space="preserve">. </w:t>
      </w:r>
    </w:p>
    <w:p w:rsidR="00F85131" w:rsidRPr="00553B70" w:rsidRDefault="00C11FF5">
      <w:pPr>
        <w:rPr>
          <w:rFonts w:ascii="Arial" w:hAnsi="Arial" w:cs="Arial"/>
        </w:rPr>
      </w:pPr>
      <w:r w:rsidRPr="00D36CC0">
        <w:rPr>
          <w:rFonts w:ascii="Arial" w:eastAsia="Arial" w:hAnsi="Arial" w:cs="Arial"/>
        </w:rPr>
        <w:br/>
        <w:t>These shifts have taken place in a rapidly transitioning society</w:t>
      </w:r>
      <w:r w:rsidR="00FE5EFF" w:rsidRPr="00D36CC0">
        <w:rPr>
          <w:rFonts w:ascii="Arial" w:eastAsia="Arial" w:hAnsi="Arial" w:cs="Arial"/>
        </w:rPr>
        <w:t xml:space="preserve"> and are </w:t>
      </w:r>
      <w:r w:rsidRPr="00D36CC0">
        <w:rPr>
          <w:rFonts w:ascii="Arial" w:eastAsia="Arial" w:hAnsi="Arial" w:cs="Arial"/>
        </w:rPr>
        <w:t xml:space="preserve">accompanied by </w:t>
      </w:r>
      <w:r w:rsidR="008A2E87" w:rsidRPr="00D36CC0">
        <w:rPr>
          <w:rFonts w:ascii="Arial" w:eastAsia="Arial" w:hAnsi="Arial" w:cs="Arial"/>
        </w:rPr>
        <w:t>evolving</w:t>
      </w:r>
      <w:r w:rsidRPr="00D36CC0">
        <w:rPr>
          <w:rFonts w:ascii="Arial" w:eastAsia="Arial" w:hAnsi="Arial" w:cs="Arial"/>
        </w:rPr>
        <w:t xml:space="preserve"> expectations from students, governments, and the corporate sector. </w:t>
      </w:r>
      <w:r w:rsidRPr="00D36CC0">
        <w:rPr>
          <w:rFonts w:ascii="Arial" w:eastAsia="Arial" w:hAnsi="Arial" w:cs="Arial"/>
        </w:rPr>
        <w:br/>
        <w:t xml:space="preserve">Canadian </w:t>
      </w:r>
      <w:r w:rsidR="00801138">
        <w:rPr>
          <w:rFonts w:ascii="Arial" w:eastAsia="Arial" w:hAnsi="Arial" w:cs="Arial"/>
        </w:rPr>
        <w:t>i</w:t>
      </w:r>
      <w:r w:rsidRPr="00D36CC0">
        <w:rPr>
          <w:rFonts w:ascii="Arial" w:eastAsia="Arial" w:hAnsi="Arial" w:cs="Arial"/>
        </w:rPr>
        <w:t xml:space="preserve">nstitutions have responded to </w:t>
      </w:r>
      <w:r w:rsidR="002953A9" w:rsidRPr="00D36CC0">
        <w:rPr>
          <w:rFonts w:ascii="Arial" w:eastAsia="Arial" w:hAnsi="Arial" w:cs="Arial"/>
        </w:rPr>
        <w:t>this new reality</w:t>
      </w:r>
      <w:r w:rsidRPr="00D36CC0">
        <w:rPr>
          <w:rFonts w:ascii="Arial" w:eastAsia="Arial" w:hAnsi="Arial" w:cs="Arial"/>
        </w:rPr>
        <w:t xml:space="preserve"> with creativity and innovation. No matter the program of study</w:t>
      </w:r>
      <w:r w:rsidR="002953A9" w:rsidRPr="00D36CC0">
        <w:rPr>
          <w:rFonts w:ascii="Arial" w:eastAsia="Arial" w:hAnsi="Arial" w:cs="Arial"/>
        </w:rPr>
        <w:t>,</w:t>
      </w:r>
      <w:r w:rsidRPr="00D36CC0">
        <w:rPr>
          <w:rFonts w:ascii="Arial" w:eastAsia="Arial" w:hAnsi="Arial" w:cs="Arial"/>
        </w:rPr>
        <w:t xml:space="preserve"> it is crucial to </w:t>
      </w:r>
      <w:r w:rsidR="002953A9" w:rsidRPr="00D36CC0">
        <w:rPr>
          <w:rFonts w:ascii="Arial" w:eastAsia="Arial" w:hAnsi="Arial" w:cs="Arial"/>
        </w:rPr>
        <w:t xml:space="preserve">recognize </w:t>
      </w:r>
      <w:r w:rsidRPr="00D36CC0">
        <w:rPr>
          <w:rFonts w:ascii="Arial" w:eastAsia="Arial" w:hAnsi="Arial" w:cs="Arial"/>
        </w:rPr>
        <w:t xml:space="preserve">that graduate students are at the core of </w:t>
      </w:r>
      <w:r w:rsidRPr="00D36CC0">
        <w:rPr>
          <w:rFonts w:ascii="Arial" w:eastAsia="Arial" w:hAnsi="Arial" w:cs="Arial"/>
        </w:rPr>
        <w:lastRenderedPageBreak/>
        <w:t xml:space="preserve">graduate education and contribute in multiple ways to the vibrancy of our campuses, to research and scholarship, and to our communities. </w:t>
      </w:r>
    </w:p>
    <w:p w:rsidR="00F85131" w:rsidRPr="00553B70" w:rsidRDefault="002953A9">
      <w:pPr>
        <w:spacing w:before="240" w:after="40"/>
        <w:rPr>
          <w:rFonts w:ascii="Arial" w:hAnsi="Arial" w:cs="Arial"/>
        </w:rPr>
      </w:pPr>
      <w:r w:rsidRPr="00D36CC0">
        <w:rPr>
          <w:rFonts w:ascii="Arial" w:eastAsia="Arial" w:hAnsi="Arial" w:cs="Arial"/>
        </w:rPr>
        <w:t>G</w:t>
      </w:r>
      <w:r w:rsidR="00C11FF5" w:rsidRPr="00D36CC0">
        <w:rPr>
          <w:rFonts w:ascii="Arial" w:eastAsia="Arial" w:hAnsi="Arial" w:cs="Arial"/>
        </w:rPr>
        <w:t>raduate education, in all disciplines, is part of a continuum. It is through access to high quality education from kindergarten through post-secondary education that successful Canadians who can contribute to Canada’s cultural and economic growth will be developed. This foundation is also the basis for the highest quality graduate students with both the intellectual and “soft” skills to be able to make Canada a leader in the 21</w:t>
      </w:r>
      <w:r w:rsidR="00C11FF5" w:rsidRPr="00D36CC0">
        <w:rPr>
          <w:rFonts w:ascii="Arial" w:eastAsia="Arial" w:hAnsi="Arial" w:cs="Arial"/>
          <w:vertAlign w:val="superscript"/>
        </w:rPr>
        <w:t>st</w:t>
      </w:r>
      <w:r w:rsidR="00C11FF5" w:rsidRPr="00D36CC0">
        <w:rPr>
          <w:rFonts w:ascii="Arial" w:eastAsia="Arial" w:hAnsi="Arial" w:cs="Arial"/>
        </w:rPr>
        <w:t xml:space="preserve"> century.</w:t>
      </w:r>
    </w:p>
    <w:p w:rsidR="00F85131" w:rsidRPr="00553B70" w:rsidRDefault="00C11FF5">
      <w:pPr>
        <w:spacing w:before="240" w:after="40"/>
        <w:rPr>
          <w:rFonts w:ascii="Arial" w:hAnsi="Arial" w:cs="Arial"/>
        </w:rPr>
      </w:pPr>
      <w:r w:rsidRPr="00D36CC0">
        <w:rPr>
          <w:rFonts w:ascii="Arial" w:eastAsia="Arial" w:hAnsi="Arial" w:cs="Arial"/>
        </w:rPr>
        <w:t>In this vein, CAGS has a number of recommendations to the federal government.</w:t>
      </w:r>
    </w:p>
    <w:p w:rsidR="0008588D" w:rsidRDefault="0008588D" w:rsidP="0008588D">
      <w:pPr>
        <w:spacing w:after="280"/>
        <w:jc w:val="center"/>
        <w:rPr>
          <w:rFonts w:ascii="Arial" w:hAnsi="Arial" w:cs="Arial"/>
        </w:rPr>
      </w:pPr>
    </w:p>
    <w:p w:rsidR="0008588D" w:rsidRPr="00553B70" w:rsidRDefault="0008588D" w:rsidP="0008588D">
      <w:pPr>
        <w:spacing w:after="280"/>
        <w:jc w:val="center"/>
        <w:rPr>
          <w:rFonts w:ascii="Arial" w:hAnsi="Arial" w:cs="Arial"/>
        </w:rPr>
      </w:pPr>
      <w:r w:rsidRPr="00553B70">
        <w:rPr>
          <w:rFonts w:ascii="Arial" w:hAnsi="Arial" w:cs="Arial"/>
          <w:noProof/>
        </w:rPr>
        <w:drawing>
          <wp:inline distT="0" distB="0" distL="0" distR="0" wp14:anchorId="4A1F2CCD" wp14:editId="29068A58">
            <wp:extent cx="198356" cy="198356"/>
            <wp:effectExtent l="0" t="0" r="0" b="0"/>
            <wp:docPr id="60"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4C276D7B" wp14:editId="1F9FE86B">
            <wp:extent cx="198356" cy="198356"/>
            <wp:effectExtent l="0" t="0" r="0" b="0"/>
            <wp:docPr id="61"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6249B07" wp14:editId="355C25DF">
            <wp:extent cx="198356" cy="198356"/>
            <wp:effectExtent l="0" t="0" r="0" b="0"/>
            <wp:docPr id="62"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B91B70" w:rsidRPr="00553B70" w:rsidRDefault="00C11FF5" w:rsidP="00B91B70">
      <w:pPr>
        <w:spacing w:after="280"/>
        <w:rPr>
          <w:rFonts w:ascii="Arial" w:hAnsi="Arial" w:cs="Arial"/>
        </w:rPr>
      </w:pPr>
      <w:r w:rsidRPr="00D36CC0">
        <w:rPr>
          <w:rFonts w:ascii="Arial" w:eastAsia="Arial" w:hAnsi="Arial" w:cs="Arial"/>
        </w:rPr>
        <w:t xml:space="preserve">Universities, and their graduate schools, are making efforts to assist graduate students who face challenges accessing and completing their studies. </w:t>
      </w:r>
      <w:r w:rsidR="00B91B70" w:rsidRPr="00D36CC0">
        <w:rPr>
          <w:rFonts w:ascii="Arial" w:eastAsia="Arial" w:hAnsi="Arial" w:cs="Arial"/>
        </w:rPr>
        <w:t xml:space="preserve">CAGS believes that individuals who are disadvantaged in access to university and graduate studies, should have pathways and resources available to enable the pursuit of higher education. </w:t>
      </w:r>
    </w:p>
    <w:p w:rsidR="00D36CC0" w:rsidRDefault="00B91B70">
      <w:pPr>
        <w:spacing w:after="280"/>
        <w:rPr>
          <w:rFonts w:ascii="Arial" w:eastAsia="Arial" w:hAnsi="Arial" w:cs="Arial"/>
        </w:rPr>
      </w:pPr>
      <w:r w:rsidRPr="00D36CC0">
        <w:rPr>
          <w:rFonts w:ascii="Arial" w:eastAsia="Arial" w:hAnsi="Arial" w:cs="Arial"/>
        </w:rPr>
        <w:t xml:space="preserve">In relation to indigenous students: </w:t>
      </w:r>
    </w:p>
    <w:p w:rsidR="00F85131" w:rsidRPr="00553B70" w:rsidRDefault="00C11FF5">
      <w:pPr>
        <w:spacing w:after="280"/>
        <w:rPr>
          <w:rFonts w:ascii="Arial" w:hAnsi="Arial" w:cs="Arial"/>
        </w:rPr>
      </w:pPr>
      <w:r w:rsidRPr="00D36CC0">
        <w:rPr>
          <w:rFonts w:ascii="Arial" w:eastAsia="Arial" w:hAnsi="Arial" w:cs="Arial"/>
          <w:b/>
        </w:rPr>
        <w:t>CAGS endorses the recommendations made in the Truth and Reconciliation report that call upon the federal government to provide adequate funding to end the backlog of First Nations students seeking a post-secondary education.</w:t>
      </w:r>
      <w:r w:rsidRPr="00D36CC0">
        <w:rPr>
          <w:rFonts w:ascii="Arial" w:eastAsia="Arial" w:hAnsi="Arial" w:cs="Arial"/>
          <w:b/>
          <w:sz w:val="23"/>
          <w:szCs w:val="23"/>
        </w:rPr>
        <w:t xml:space="preserve">  </w:t>
      </w:r>
    </w:p>
    <w:p w:rsidR="00F85131" w:rsidRPr="00553B70" w:rsidRDefault="00C11FF5">
      <w:pPr>
        <w:spacing w:after="280"/>
        <w:rPr>
          <w:rFonts w:ascii="Arial" w:hAnsi="Arial" w:cs="Arial"/>
        </w:rPr>
      </w:pPr>
      <w:r w:rsidRPr="00D36CC0">
        <w:rPr>
          <w:rFonts w:ascii="Arial" w:eastAsia="Arial" w:hAnsi="Arial" w:cs="Arial"/>
        </w:rPr>
        <w:t>Many of these students, given the appropriate initial support, will become successful graduate students</w:t>
      </w:r>
      <w:r w:rsidR="00BC4B78" w:rsidRPr="00D36CC0">
        <w:rPr>
          <w:rFonts w:ascii="Arial" w:eastAsia="Arial" w:hAnsi="Arial" w:cs="Arial"/>
        </w:rPr>
        <w:t xml:space="preserve"> and leaders</w:t>
      </w:r>
      <w:r w:rsidRPr="00D36CC0">
        <w:rPr>
          <w:rFonts w:ascii="Arial" w:eastAsia="Arial" w:hAnsi="Arial" w:cs="Arial"/>
        </w:rPr>
        <w:t>. Therefore,</w:t>
      </w:r>
    </w:p>
    <w:p w:rsidR="00F85131" w:rsidRPr="00553B70" w:rsidRDefault="00C11FF5">
      <w:pPr>
        <w:spacing w:after="280"/>
        <w:rPr>
          <w:rFonts w:ascii="Arial" w:hAnsi="Arial" w:cs="Arial"/>
        </w:rPr>
      </w:pPr>
      <w:r w:rsidRPr="00D36CC0">
        <w:rPr>
          <w:rFonts w:ascii="Arial" w:eastAsia="Arial" w:hAnsi="Arial" w:cs="Arial"/>
          <w:b/>
        </w:rPr>
        <w:t>CAGS requests that the federal government provide funds for graduate scholarships for First Nations students.</w:t>
      </w:r>
    </w:p>
    <w:p w:rsidR="00F85131" w:rsidRPr="00553B70" w:rsidRDefault="00C11FF5">
      <w:pPr>
        <w:spacing w:after="280"/>
        <w:jc w:val="center"/>
        <w:rPr>
          <w:rFonts w:ascii="Arial" w:hAnsi="Arial" w:cs="Arial"/>
        </w:rPr>
      </w:pPr>
      <w:r w:rsidRPr="00553B70">
        <w:rPr>
          <w:rFonts w:ascii="Arial" w:hAnsi="Arial" w:cs="Arial"/>
          <w:noProof/>
        </w:rPr>
        <w:drawing>
          <wp:inline distT="0" distB="0" distL="0" distR="0" wp14:anchorId="12E30AE2" wp14:editId="2B253527">
            <wp:extent cx="198356" cy="198356"/>
            <wp:effectExtent l="0" t="0" r="0" b="0"/>
            <wp:docPr id="14"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4D74E3B9" wp14:editId="1850FFC9">
            <wp:extent cx="198356" cy="198356"/>
            <wp:effectExtent l="0" t="0" r="0" b="0"/>
            <wp:docPr id="50"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767171BF" wp14:editId="7925A146">
            <wp:extent cx="198356" cy="198356"/>
            <wp:effectExtent l="0" t="0" r="0" b="0"/>
            <wp:docPr id="51"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F85131" w:rsidRDefault="00B91B70">
      <w:pPr>
        <w:rPr>
          <w:rFonts w:ascii="Arial" w:hAnsi="Arial" w:cs="Arial"/>
        </w:rPr>
      </w:pPr>
      <w:r w:rsidRPr="00553B70">
        <w:rPr>
          <w:rFonts w:ascii="Arial" w:hAnsi="Arial" w:cs="Arial"/>
        </w:rPr>
        <w:t>In relation to students with disabilities</w:t>
      </w:r>
      <w:r w:rsidR="00D36CC0">
        <w:rPr>
          <w:rFonts w:ascii="Arial" w:hAnsi="Arial" w:cs="Arial"/>
        </w:rPr>
        <w:t>:</w:t>
      </w:r>
    </w:p>
    <w:p w:rsidR="00D36CC0" w:rsidRPr="00553B70" w:rsidRDefault="00D36CC0">
      <w:pPr>
        <w:rPr>
          <w:rFonts w:ascii="Arial" w:hAnsi="Arial" w:cs="Arial"/>
        </w:rPr>
      </w:pPr>
    </w:p>
    <w:p w:rsidR="00F85131" w:rsidRPr="00553B70" w:rsidRDefault="00C11FF5">
      <w:pPr>
        <w:rPr>
          <w:rFonts w:ascii="Arial" w:hAnsi="Arial" w:cs="Arial"/>
        </w:rPr>
      </w:pPr>
      <w:r w:rsidRPr="00D36CC0">
        <w:rPr>
          <w:rFonts w:ascii="Arial" w:eastAsia="Arial" w:hAnsi="Arial" w:cs="Arial"/>
          <w:b/>
        </w:rPr>
        <w:t xml:space="preserve">CAGS endorses the recommendations of the National Graduate Experience Taskforce </w:t>
      </w:r>
    </w:p>
    <w:p w:rsidR="00F85131" w:rsidRPr="00553B70" w:rsidRDefault="00C11FF5">
      <w:pPr>
        <w:rPr>
          <w:rFonts w:ascii="Arial" w:hAnsi="Arial" w:cs="Arial"/>
        </w:rPr>
      </w:pPr>
      <w:r w:rsidRPr="00D36CC0">
        <w:rPr>
          <w:rFonts w:ascii="Arial" w:eastAsia="Arial" w:hAnsi="Arial" w:cs="Arial"/>
          <w:b/>
        </w:rPr>
        <w:t>concerning students with physical and</w:t>
      </w:r>
      <w:r w:rsidR="00DE390E" w:rsidRPr="00D36CC0">
        <w:rPr>
          <w:rFonts w:ascii="Arial" w:eastAsia="Arial" w:hAnsi="Arial" w:cs="Arial"/>
          <w:b/>
        </w:rPr>
        <w:t>/or</w:t>
      </w:r>
      <w:r w:rsidRPr="00D36CC0">
        <w:rPr>
          <w:rFonts w:ascii="Arial" w:eastAsia="Arial" w:hAnsi="Arial" w:cs="Arial"/>
          <w:b/>
        </w:rPr>
        <w:t xml:space="preserve"> mental disabilities: </w:t>
      </w:r>
    </w:p>
    <w:p w:rsidR="00F85131" w:rsidRPr="00553B70" w:rsidRDefault="00F85131">
      <w:pPr>
        <w:rPr>
          <w:rFonts w:ascii="Arial" w:hAnsi="Arial" w:cs="Arial"/>
        </w:rPr>
      </w:pPr>
    </w:p>
    <w:p w:rsidR="00DE390E" w:rsidRPr="00553B70" w:rsidRDefault="00C11FF5">
      <w:pPr>
        <w:numPr>
          <w:ilvl w:val="0"/>
          <w:numId w:val="1"/>
        </w:numPr>
        <w:ind w:hanging="360"/>
        <w:contextualSpacing/>
        <w:rPr>
          <w:rFonts w:ascii="Arial" w:hAnsi="Arial" w:cs="Arial"/>
        </w:rPr>
      </w:pPr>
      <w:r w:rsidRPr="00D36CC0">
        <w:rPr>
          <w:rFonts w:ascii="Arial" w:eastAsia="Arial" w:hAnsi="Arial" w:cs="Arial"/>
          <w:b/>
        </w:rPr>
        <w:t xml:space="preserve">that funding agencies review their practices and policies to ensure accessibility and </w:t>
      </w:r>
      <w:r w:rsidR="00DE390E" w:rsidRPr="00D36CC0">
        <w:rPr>
          <w:rFonts w:ascii="Arial" w:eastAsia="Arial" w:hAnsi="Arial" w:cs="Arial"/>
          <w:b/>
        </w:rPr>
        <w:t>inclusivity</w:t>
      </w:r>
      <w:r w:rsidRPr="00D36CC0">
        <w:rPr>
          <w:rFonts w:ascii="Arial" w:eastAsia="Arial" w:hAnsi="Arial" w:cs="Arial"/>
          <w:b/>
        </w:rPr>
        <w:t xml:space="preserve"> of students with disabilities to existing tri-</w:t>
      </w:r>
      <w:r w:rsidR="00DE390E" w:rsidRPr="00D36CC0">
        <w:rPr>
          <w:rFonts w:ascii="Arial" w:eastAsia="Arial" w:hAnsi="Arial" w:cs="Arial"/>
          <w:b/>
        </w:rPr>
        <w:t xml:space="preserve">agency </w:t>
      </w:r>
      <w:r w:rsidRPr="00D36CC0">
        <w:rPr>
          <w:rFonts w:ascii="Arial" w:eastAsia="Arial" w:hAnsi="Arial" w:cs="Arial"/>
          <w:b/>
        </w:rPr>
        <w:t>funding and scholarship programs</w:t>
      </w:r>
      <w:r w:rsidR="00DE390E" w:rsidRPr="00D36CC0">
        <w:rPr>
          <w:rFonts w:ascii="Arial" w:eastAsia="Arial" w:hAnsi="Arial" w:cs="Arial"/>
          <w:b/>
        </w:rPr>
        <w:t xml:space="preserve">. </w:t>
      </w:r>
    </w:p>
    <w:p w:rsidR="00F85131" w:rsidRPr="00553B70" w:rsidRDefault="00C11FF5">
      <w:pPr>
        <w:numPr>
          <w:ilvl w:val="0"/>
          <w:numId w:val="1"/>
        </w:numPr>
        <w:ind w:hanging="360"/>
        <w:contextualSpacing/>
        <w:rPr>
          <w:rFonts w:ascii="Arial" w:hAnsi="Arial" w:cs="Arial"/>
        </w:rPr>
      </w:pPr>
      <w:r w:rsidRPr="00D36CC0">
        <w:rPr>
          <w:rFonts w:ascii="Arial" w:eastAsia="Arial" w:hAnsi="Arial" w:cs="Arial"/>
          <w:b/>
        </w:rPr>
        <w:t xml:space="preserve">establish </w:t>
      </w:r>
      <w:r w:rsidR="0066637C" w:rsidRPr="00D36CC0">
        <w:rPr>
          <w:rFonts w:ascii="Arial" w:eastAsia="Arial" w:hAnsi="Arial" w:cs="Arial"/>
          <w:b/>
        </w:rPr>
        <w:t xml:space="preserve">a </w:t>
      </w:r>
      <w:r w:rsidR="00A2232E" w:rsidRPr="00D36CC0">
        <w:rPr>
          <w:rFonts w:ascii="Arial" w:eastAsia="Arial" w:hAnsi="Arial" w:cs="Arial"/>
          <w:b/>
        </w:rPr>
        <w:t xml:space="preserve">federal </w:t>
      </w:r>
      <w:r w:rsidRPr="00D36CC0">
        <w:rPr>
          <w:rFonts w:ascii="Arial" w:eastAsia="Arial" w:hAnsi="Arial" w:cs="Arial"/>
          <w:b/>
        </w:rPr>
        <w:t xml:space="preserve">funding </w:t>
      </w:r>
      <w:r w:rsidR="00A2232E" w:rsidRPr="00D36CC0">
        <w:rPr>
          <w:rFonts w:ascii="Arial" w:eastAsia="Arial" w:hAnsi="Arial" w:cs="Arial"/>
          <w:b/>
        </w:rPr>
        <w:t>program</w:t>
      </w:r>
      <w:r w:rsidRPr="00D36CC0">
        <w:rPr>
          <w:rFonts w:ascii="Arial" w:eastAsia="Arial" w:hAnsi="Arial" w:cs="Arial"/>
          <w:b/>
        </w:rPr>
        <w:t xml:space="preserve"> for students with </w:t>
      </w:r>
      <w:r w:rsidR="00A2232E" w:rsidRPr="00D36CC0">
        <w:rPr>
          <w:rFonts w:ascii="Arial" w:eastAsia="Arial" w:hAnsi="Arial" w:cs="Arial"/>
          <w:b/>
        </w:rPr>
        <w:t xml:space="preserve">long term </w:t>
      </w:r>
      <w:r w:rsidRPr="00D36CC0">
        <w:rPr>
          <w:rFonts w:ascii="Arial" w:eastAsia="Arial" w:hAnsi="Arial" w:cs="Arial"/>
          <w:b/>
        </w:rPr>
        <w:t>disabilities</w:t>
      </w:r>
      <w:r w:rsidR="00A2232E" w:rsidRPr="00D36CC0">
        <w:rPr>
          <w:rFonts w:ascii="Arial" w:eastAsia="Arial" w:hAnsi="Arial" w:cs="Arial"/>
          <w:b/>
        </w:rPr>
        <w:t xml:space="preserve"> to access to pay for adaptive equipment and/or services essential to their </w:t>
      </w:r>
      <w:r w:rsidRPr="00D36CC0">
        <w:rPr>
          <w:rFonts w:ascii="Arial" w:eastAsia="Arial" w:hAnsi="Arial" w:cs="Arial"/>
          <w:b/>
        </w:rPr>
        <w:t xml:space="preserve">graduate </w:t>
      </w:r>
      <w:r w:rsidR="00A2232E" w:rsidRPr="00D36CC0">
        <w:rPr>
          <w:rFonts w:ascii="Arial" w:eastAsia="Arial" w:hAnsi="Arial" w:cs="Arial"/>
          <w:b/>
        </w:rPr>
        <w:t>research work</w:t>
      </w:r>
      <w:r w:rsidR="005C5947" w:rsidRPr="00D36CC0">
        <w:rPr>
          <w:rFonts w:ascii="Arial" w:eastAsia="Arial" w:hAnsi="Arial" w:cs="Arial"/>
          <w:b/>
        </w:rPr>
        <w:t xml:space="preserve">: </w:t>
      </w:r>
      <w:r w:rsidRPr="00D36CC0">
        <w:rPr>
          <w:rFonts w:ascii="Arial" w:eastAsia="Arial" w:hAnsi="Arial" w:cs="Arial"/>
          <w:b/>
        </w:rPr>
        <w:t>and,</w:t>
      </w:r>
    </w:p>
    <w:p w:rsidR="00F85131" w:rsidRPr="00553B70" w:rsidRDefault="00F85131">
      <w:pPr>
        <w:jc w:val="center"/>
        <w:rPr>
          <w:rFonts w:ascii="Arial" w:hAnsi="Arial" w:cs="Arial"/>
        </w:rPr>
      </w:pPr>
    </w:p>
    <w:p w:rsidR="0008588D" w:rsidRPr="00553B70" w:rsidRDefault="0008588D" w:rsidP="0008588D">
      <w:pPr>
        <w:spacing w:after="280"/>
        <w:jc w:val="center"/>
        <w:rPr>
          <w:rFonts w:ascii="Arial" w:hAnsi="Arial" w:cs="Arial"/>
        </w:rPr>
      </w:pPr>
      <w:r w:rsidRPr="00553B70">
        <w:rPr>
          <w:rFonts w:ascii="Arial" w:hAnsi="Arial" w:cs="Arial"/>
          <w:noProof/>
        </w:rPr>
        <w:drawing>
          <wp:inline distT="0" distB="0" distL="0" distR="0" wp14:anchorId="7F81637A" wp14:editId="21D23782">
            <wp:extent cx="198356" cy="198356"/>
            <wp:effectExtent l="0" t="0" r="0" b="0"/>
            <wp:docPr id="63"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085A18CA" wp14:editId="0375A386">
            <wp:extent cx="198356" cy="198356"/>
            <wp:effectExtent l="0" t="0" r="0" b="0"/>
            <wp:docPr id="64"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03FD3513" wp14:editId="23E9CBCE">
            <wp:extent cx="198356" cy="198356"/>
            <wp:effectExtent l="0" t="0" r="0" b="0"/>
            <wp:docPr id="65"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F82A3B" w:rsidRPr="0008588D" w:rsidRDefault="00F82A3B" w:rsidP="007A64DB">
      <w:pPr>
        <w:pStyle w:val="ListParagraph"/>
        <w:spacing w:after="280"/>
        <w:rPr>
          <w:rFonts w:ascii="Arial" w:hAnsi="Arial" w:cs="Arial"/>
        </w:rPr>
      </w:pPr>
    </w:p>
    <w:p w:rsidR="00B91B70" w:rsidRPr="00553B70" w:rsidRDefault="00B91B70" w:rsidP="00553B70">
      <w:pPr>
        <w:spacing w:after="280"/>
        <w:rPr>
          <w:rFonts w:ascii="Arial" w:hAnsi="Arial" w:cs="Arial"/>
        </w:rPr>
      </w:pPr>
      <w:r w:rsidRPr="00553B70">
        <w:rPr>
          <w:rFonts w:ascii="Arial" w:hAnsi="Arial" w:cs="Arial"/>
        </w:rPr>
        <w:t>In relation to the number of women in STE</w:t>
      </w:r>
      <w:r w:rsidR="00D36CC0">
        <w:rPr>
          <w:rFonts w:ascii="Arial" w:hAnsi="Arial" w:cs="Arial"/>
        </w:rPr>
        <w:t>M</w:t>
      </w:r>
      <w:r w:rsidRPr="00553B70">
        <w:rPr>
          <w:rFonts w:ascii="Arial" w:hAnsi="Arial" w:cs="Arial"/>
        </w:rPr>
        <w:t xml:space="preserve"> disciplines:</w:t>
      </w:r>
    </w:p>
    <w:p w:rsidR="00F85131" w:rsidRPr="00553B70" w:rsidRDefault="00C11FF5">
      <w:pPr>
        <w:rPr>
          <w:rFonts w:ascii="Arial" w:hAnsi="Arial" w:cs="Arial"/>
        </w:rPr>
      </w:pPr>
      <w:r w:rsidRPr="00D36CC0">
        <w:rPr>
          <w:rFonts w:ascii="Arial" w:eastAsia="Arial" w:hAnsi="Arial" w:cs="Arial"/>
        </w:rPr>
        <w:t>CAGS is concerned about the imbalance between men an</w:t>
      </w:r>
      <w:r w:rsidR="00771377" w:rsidRPr="00D36CC0">
        <w:rPr>
          <w:rFonts w:ascii="Arial" w:eastAsia="Arial" w:hAnsi="Arial" w:cs="Arial"/>
        </w:rPr>
        <w:t xml:space="preserve">d women in </w:t>
      </w:r>
      <w:r w:rsidRPr="00D36CC0">
        <w:rPr>
          <w:rFonts w:ascii="Arial" w:eastAsia="Arial" w:hAnsi="Arial" w:cs="Arial"/>
        </w:rPr>
        <w:t>the STEM disciplines</w:t>
      </w:r>
      <w:r w:rsidR="009C3320" w:rsidRPr="00D36CC0">
        <w:rPr>
          <w:rFonts w:ascii="Arial" w:eastAsia="Arial" w:hAnsi="Arial" w:cs="Arial"/>
        </w:rPr>
        <w:t xml:space="preserve">. As an illustration, </w:t>
      </w:r>
      <w:r w:rsidRPr="00D36CC0">
        <w:rPr>
          <w:rFonts w:ascii="Arial" w:eastAsia="Arial" w:hAnsi="Arial" w:cs="Arial"/>
        </w:rPr>
        <w:t xml:space="preserve">enrollment of women in 2013 in Architecture, Engineering &amp; Related Technologies was 24.5% of the total while in  Mathematics, Computer &amp; Information Sciences it was 25.6%. </w:t>
      </w:r>
    </w:p>
    <w:p w:rsidR="00B91B70" w:rsidRPr="00D36CC0" w:rsidRDefault="00B91B70" w:rsidP="00B91B70">
      <w:pPr>
        <w:rPr>
          <w:rFonts w:ascii="Arial" w:eastAsia="Arial" w:hAnsi="Arial" w:cs="Arial"/>
          <w:b/>
        </w:rPr>
      </w:pPr>
    </w:p>
    <w:p w:rsidR="00B91B70" w:rsidRPr="00553B70" w:rsidRDefault="00B91B70" w:rsidP="00B91B70">
      <w:pPr>
        <w:rPr>
          <w:rFonts w:ascii="Arial" w:hAnsi="Arial" w:cs="Arial"/>
        </w:rPr>
      </w:pPr>
      <w:r w:rsidRPr="00D36CC0">
        <w:rPr>
          <w:rFonts w:ascii="Arial" w:eastAsia="Arial" w:hAnsi="Arial" w:cs="Arial"/>
          <w:b/>
        </w:rPr>
        <w:t xml:space="preserve">CAGS </w:t>
      </w:r>
      <w:r w:rsidR="00AF6DB9" w:rsidRPr="00D36CC0">
        <w:rPr>
          <w:rFonts w:ascii="Arial" w:eastAsia="Arial" w:hAnsi="Arial" w:cs="Arial"/>
          <w:b/>
        </w:rPr>
        <w:t>encourages</w:t>
      </w:r>
      <w:r w:rsidRPr="00D36CC0">
        <w:rPr>
          <w:rFonts w:ascii="Arial" w:eastAsia="Arial" w:hAnsi="Arial" w:cs="Arial"/>
          <w:b/>
        </w:rPr>
        <w:t xml:space="preserve"> the Tri-Agencies to review processes with a view to eliminating unconscious (or hidden) bias against women in calls for applications for scholarships, fellowships or research grants and in the adjudication of these awards. </w:t>
      </w:r>
    </w:p>
    <w:p w:rsidR="00F85131" w:rsidRPr="00553B70" w:rsidRDefault="00F85131">
      <w:pPr>
        <w:rPr>
          <w:rFonts w:ascii="Arial" w:hAnsi="Arial" w:cs="Arial"/>
        </w:rPr>
      </w:pPr>
    </w:p>
    <w:p w:rsidR="00F85131" w:rsidRPr="00553B70" w:rsidRDefault="008A2E87" w:rsidP="00553B70">
      <w:pPr>
        <w:jc w:val="center"/>
        <w:rPr>
          <w:rFonts w:ascii="Arial" w:hAnsi="Arial" w:cs="Arial"/>
        </w:rPr>
      </w:pPr>
      <w:r w:rsidRPr="00553B70">
        <w:rPr>
          <w:noProof/>
        </w:rPr>
        <w:drawing>
          <wp:inline distT="0" distB="0" distL="0" distR="0" wp14:anchorId="740E9E66" wp14:editId="6FDFAF41">
            <wp:extent cx="198356" cy="198356"/>
            <wp:effectExtent l="0" t="0" r="0" b="0"/>
            <wp:docPr id="52"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noProof/>
        </w:rPr>
        <w:drawing>
          <wp:inline distT="0" distB="0" distL="0" distR="0" wp14:anchorId="735348B8" wp14:editId="5D19C1A3">
            <wp:extent cx="198356" cy="198356"/>
            <wp:effectExtent l="0" t="0" r="0" b="0"/>
            <wp:docPr id="53"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D36CC0" w:rsidRPr="00553B70">
        <w:rPr>
          <w:noProof/>
        </w:rPr>
        <w:drawing>
          <wp:inline distT="0" distB="0" distL="0" distR="0" wp14:anchorId="402681BA" wp14:editId="204B8B8C">
            <wp:extent cx="198356" cy="198356"/>
            <wp:effectExtent l="0" t="0" r="0" b="0"/>
            <wp:docPr id="29"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771377" w:rsidRPr="00553B70" w:rsidRDefault="00771377" w:rsidP="00771377">
      <w:pPr>
        <w:pStyle w:val="ListParagraph"/>
        <w:rPr>
          <w:rFonts w:ascii="Arial" w:hAnsi="Arial" w:cs="Arial"/>
        </w:rPr>
      </w:pPr>
    </w:p>
    <w:p w:rsidR="00F85131" w:rsidRPr="00553B70" w:rsidRDefault="00C11FF5">
      <w:pPr>
        <w:rPr>
          <w:rFonts w:ascii="Arial" w:hAnsi="Arial" w:cs="Arial"/>
        </w:rPr>
      </w:pPr>
      <w:r w:rsidRPr="00D36CC0">
        <w:rPr>
          <w:rFonts w:ascii="Arial" w:eastAsia="Arial" w:hAnsi="Arial" w:cs="Arial"/>
        </w:rPr>
        <w:t>Direct funding for the supp</w:t>
      </w:r>
      <w:r w:rsidR="00771377" w:rsidRPr="00D36CC0">
        <w:rPr>
          <w:rFonts w:ascii="Arial" w:eastAsia="Arial" w:hAnsi="Arial" w:cs="Arial"/>
        </w:rPr>
        <w:t xml:space="preserve">ort of students, scholarships, </w:t>
      </w:r>
      <w:r w:rsidRPr="00D36CC0">
        <w:rPr>
          <w:rFonts w:ascii="Arial" w:eastAsia="Arial" w:hAnsi="Arial" w:cs="Arial"/>
        </w:rPr>
        <w:t xml:space="preserve">has not </w:t>
      </w:r>
      <w:r w:rsidR="000460CE" w:rsidRPr="00D36CC0">
        <w:rPr>
          <w:rFonts w:ascii="Arial" w:eastAsia="Arial" w:hAnsi="Arial" w:cs="Arial"/>
        </w:rPr>
        <w:t xml:space="preserve">materially </w:t>
      </w:r>
      <w:r w:rsidRPr="00D36CC0">
        <w:rPr>
          <w:rFonts w:ascii="Arial" w:eastAsia="Arial" w:hAnsi="Arial" w:cs="Arial"/>
        </w:rPr>
        <w:t>increased since 2009 in any of the granting councils</w:t>
      </w:r>
      <w:r w:rsidR="00C81524" w:rsidRPr="00D36CC0">
        <w:rPr>
          <w:rFonts w:ascii="Arial" w:eastAsia="Arial" w:hAnsi="Arial" w:cs="Arial"/>
        </w:rPr>
        <w:t xml:space="preserve"> despite significant increases in </w:t>
      </w:r>
      <w:r w:rsidR="00AF6DB9" w:rsidRPr="00D36CC0">
        <w:rPr>
          <w:rFonts w:ascii="Arial" w:eastAsia="Arial" w:hAnsi="Arial" w:cs="Arial"/>
        </w:rPr>
        <w:t>enrollment.</w:t>
      </w:r>
      <w:r w:rsidRPr="00D36CC0">
        <w:rPr>
          <w:rFonts w:ascii="Arial" w:eastAsia="Arial" w:hAnsi="Arial" w:cs="Arial"/>
        </w:rPr>
        <w:t xml:space="preserve"> CAGS </w:t>
      </w:r>
      <w:r w:rsidR="000460CE" w:rsidRPr="00D36CC0">
        <w:rPr>
          <w:rFonts w:ascii="Arial" w:eastAsia="Arial" w:hAnsi="Arial" w:cs="Arial"/>
        </w:rPr>
        <w:t xml:space="preserve">values </w:t>
      </w:r>
      <w:r w:rsidRPr="00D36CC0">
        <w:rPr>
          <w:rFonts w:ascii="Arial" w:eastAsia="Arial" w:hAnsi="Arial" w:cs="Arial"/>
        </w:rPr>
        <w:t xml:space="preserve">the establishment of, for example, the Vanier scholarships and the CREATE program but </w:t>
      </w:r>
      <w:r w:rsidR="000460CE" w:rsidRPr="00D36CC0">
        <w:rPr>
          <w:rFonts w:ascii="Arial" w:eastAsia="Arial" w:hAnsi="Arial" w:cs="Arial"/>
        </w:rPr>
        <w:t xml:space="preserve">despairs at the fact </w:t>
      </w:r>
      <w:r w:rsidRPr="00D36CC0">
        <w:rPr>
          <w:rFonts w:ascii="Arial" w:eastAsia="Arial" w:hAnsi="Arial" w:cs="Arial"/>
        </w:rPr>
        <w:t xml:space="preserve">that the funding for these initiatives came from </w:t>
      </w:r>
      <w:r w:rsidR="000460CE" w:rsidRPr="00D36CC0">
        <w:rPr>
          <w:rFonts w:ascii="Arial" w:eastAsia="Arial" w:hAnsi="Arial" w:cs="Arial"/>
        </w:rPr>
        <w:t xml:space="preserve">redirecting </w:t>
      </w:r>
      <w:r w:rsidRPr="00D36CC0">
        <w:rPr>
          <w:rFonts w:ascii="Arial" w:eastAsia="Arial" w:hAnsi="Arial" w:cs="Arial"/>
        </w:rPr>
        <w:t xml:space="preserve"> </w:t>
      </w:r>
      <w:r w:rsidR="000460CE" w:rsidRPr="00D36CC0">
        <w:rPr>
          <w:rFonts w:ascii="Arial" w:eastAsia="Arial" w:hAnsi="Arial" w:cs="Arial"/>
        </w:rPr>
        <w:t xml:space="preserve">monies allocated for </w:t>
      </w:r>
      <w:r w:rsidRPr="00D36CC0">
        <w:rPr>
          <w:rFonts w:ascii="Arial" w:eastAsia="Arial" w:hAnsi="Arial" w:cs="Arial"/>
        </w:rPr>
        <w:t>postgraduate scholarship</w:t>
      </w:r>
      <w:r w:rsidR="000460CE" w:rsidRPr="00D36CC0">
        <w:rPr>
          <w:rFonts w:ascii="Arial" w:eastAsia="Arial" w:hAnsi="Arial" w:cs="Arial"/>
        </w:rPr>
        <w:t>s (i.e. cost neutral).</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rPr>
        <w:t>As we make clear throughout this presentation, students are the future of the research enterprise, the economy and society</w:t>
      </w:r>
      <w:r w:rsidR="00AF6DB9">
        <w:rPr>
          <w:rFonts w:ascii="Arial" w:eastAsia="Arial" w:hAnsi="Arial" w:cs="Arial"/>
        </w:rPr>
        <w:t>.</w:t>
      </w:r>
      <w:r w:rsidR="000460CE" w:rsidRPr="00D36CC0">
        <w:rPr>
          <w:rFonts w:ascii="Arial" w:eastAsia="Arial" w:hAnsi="Arial" w:cs="Arial"/>
        </w:rPr>
        <w:t xml:space="preserve"> </w:t>
      </w:r>
      <w:r w:rsidR="00AF6DB9">
        <w:rPr>
          <w:rFonts w:ascii="Arial" w:eastAsia="Arial" w:hAnsi="Arial" w:cs="Arial"/>
        </w:rPr>
        <w:t xml:space="preserve">They </w:t>
      </w:r>
      <w:r w:rsidR="000460CE" w:rsidRPr="00D36CC0">
        <w:rPr>
          <w:rFonts w:ascii="Arial" w:eastAsia="Arial" w:hAnsi="Arial" w:cs="Arial"/>
        </w:rPr>
        <w:t>are a sound and strategic investment</w:t>
      </w:r>
      <w:r w:rsidRPr="00D36CC0">
        <w:rPr>
          <w:rFonts w:ascii="Arial" w:eastAsia="Arial" w:hAnsi="Arial" w:cs="Arial"/>
        </w:rPr>
        <w:t xml:space="preserve">. </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b/>
        </w:rPr>
        <w:t xml:space="preserve">CAGS requests that the federal government increase the funds available for scholarships across the councils - at a minimum, </w:t>
      </w:r>
      <w:r w:rsidR="00D245D1" w:rsidRPr="00D36CC0">
        <w:rPr>
          <w:rFonts w:ascii="Arial" w:eastAsia="Arial" w:hAnsi="Arial" w:cs="Arial"/>
          <w:b/>
        </w:rPr>
        <w:t xml:space="preserve">by the amount allocated to </w:t>
      </w:r>
      <w:r w:rsidRPr="00D36CC0">
        <w:rPr>
          <w:rFonts w:ascii="Arial" w:eastAsia="Arial" w:hAnsi="Arial" w:cs="Arial"/>
          <w:b/>
        </w:rPr>
        <w:t>Vanier scholarships and the CREATE program.</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rPr>
        <w:t xml:space="preserve">Student mobility is of growing importance as </w:t>
      </w:r>
      <w:r w:rsidR="00E97889" w:rsidRPr="00D36CC0">
        <w:rPr>
          <w:rFonts w:ascii="Arial" w:eastAsia="Arial" w:hAnsi="Arial" w:cs="Arial"/>
        </w:rPr>
        <w:t xml:space="preserve">the </w:t>
      </w:r>
      <w:r w:rsidRPr="00D36CC0">
        <w:rPr>
          <w:rFonts w:ascii="Arial" w:eastAsia="Arial" w:hAnsi="Arial" w:cs="Arial"/>
        </w:rPr>
        <w:t xml:space="preserve">knowledge </w:t>
      </w:r>
      <w:r w:rsidR="00E97889" w:rsidRPr="00D36CC0">
        <w:rPr>
          <w:rFonts w:ascii="Arial" w:eastAsia="Arial" w:hAnsi="Arial" w:cs="Arial"/>
        </w:rPr>
        <w:t xml:space="preserve">economy and discovery </w:t>
      </w:r>
      <w:r w:rsidRPr="00D36CC0">
        <w:rPr>
          <w:rFonts w:ascii="Arial" w:eastAsia="Arial" w:hAnsi="Arial" w:cs="Arial"/>
        </w:rPr>
        <w:t xml:space="preserve">transcend borders. </w:t>
      </w:r>
      <w:r w:rsidR="00C81524" w:rsidRPr="00D36CC0">
        <w:rPr>
          <w:rFonts w:ascii="Arial" w:eastAsia="Arial" w:hAnsi="Arial" w:cs="Arial"/>
        </w:rPr>
        <w:t>Experience in other countries will both expand the horizons of individual students and open doors to further collaboration for future students.</w:t>
      </w:r>
    </w:p>
    <w:p w:rsidR="00F85131" w:rsidRPr="00553B70" w:rsidRDefault="00F85131">
      <w:pPr>
        <w:rPr>
          <w:rFonts w:ascii="Arial" w:hAnsi="Arial" w:cs="Arial"/>
        </w:rPr>
      </w:pPr>
    </w:p>
    <w:p w:rsidR="00F85131" w:rsidRDefault="00C11FF5">
      <w:pPr>
        <w:rPr>
          <w:rFonts w:ascii="Arial" w:eastAsia="Arial" w:hAnsi="Arial" w:cs="Arial"/>
          <w:b/>
        </w:rPr>
      </w:pPr>
      <w:r w:rsidRPr="00D36CC0">
        <w:rPr>
          <w:rFonts w:ascii="Arial" w:eastAsia="Arial" w:hAnsi="Arial" w:cs="Arial"/>
          <w:b/>
        </w:rPr>
        <w:t>CAGS supports expansion of the Queen Elizabeth Jubilee scholarships as proposed by IDRC and Universities Canada,</w:t>
      </w:r>
      <w:r w:rsidR="00771377" w:rsidRPr="00D36CC0">
        <w:rPr>
          <w:rFonts w:ascii="Arial" w:eastAsia="Arial" w:hAnsi="Arial" w:cs="Arial"/>
          <w:b/>
        </w:rPr>
        <w:t xml:space="preserve"> </w:t>
      </w:r>
      <w:r w:rsidRPr="00D36CC0">
        <w:rPr>
          <w:rFonts w:ascii="Arial" w:eastAsia="Arial" w:hAnsi="Arial" w:cs="Arial"/>
          <w:b/>
        </w:rPr>
        <w:t>and the Tri-</w:t>
      </w:r>
      <w:r w:rsidR="00D1156A" w:rsidRPr="00D36CC0">
        <w:rPr>
          <w:rFonts w:ascii="Arial" w:eastAsia="Arial" w:hAnsi="Arial" w:cs="Arial"/>
          <w:b/>
        </w:rPr>
        <w:t xml:space="preserve">Agencies </w:t>
      </w:r>
      <w:r w:rsidRPr="00D36CC0">
        <w:rPr>
          <w:rFonts w:ascii="Arial" w:eastAsia="Arial" w:hAnsi="Arial" w:cs="Arial"/>
          <w:b/>
        </w:rPr>
        <w:t>to develop pathways for foreign students and Canadian students.</w:t>
      </w:r>
    </w:p>
    <w:p w:rsidR="007A64DB" w:rsidRPr="00553B70" w:rsidRDefault="007A64DB">
      <w:pPr>
        <w:rPr>
          <w:rFonts w:ascii="Arial" w:hAnsi="Arial" w:cs="Arial"/>
        </w:rPr>
      </w:pPr>
    </w:p>
    <w:p w:rsidR="00F85131" w:rsidRDefault="007A64DB">
      <w:pPr>
        <w:jc w:val="center"/>
        <w:rPr>
          <w:rFonts w:ascii="Arial" w:hAnsi="Arial" w:cs="Arial"/>
        </w:rPr>
      </w:pPr>
      <w:r w:rsidRPr="003E1D83">
        <w:pict>
          <v:shape id="_x0000_i1033" type="#_x0000_t75" alt="cid:85CCF341-10B4-4B6A-8D1B-4B30C9863EE0" style="width:15.6pt;height:15.6pt;visibility:visible;mso-wrap-style:square">
            <v:imagedata r:id="rId9" o:title="85CCF341-10B4-4B6A-8D1B-4B30C9863EE0"/>
          </v:shape>
        </w:pict>
      </w:r>
      <w:r w:rsidR="00C11FF5" w:rsidRPr="00553B70">
        <w:rPr>
          <w:rFonts w:ascii="Arial" w:hAnsi="Arial" w:cs="Arial"/>
          <w:noProof/>
        </w:rPr>
        <w:drawing>
          <wp:inline distT="0" distB="0" distL="0" distR="0" wp14:anchorId="7CE0D720" wp14:editId="58A9E5A1">
            <wp:extent cx="200025" cy="200025"/>
            <wp:effectExtent l="0" t="0" r="0" b="0"/>
            <wp:docPr id="3"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r w:rsidR="00C11FF5" w:rsidRPr="00553B70">
        <w:rPr>
          <w:rFonts w:ascii="Arial" w:hAnsi="Arial" w:cs="Arial"/>
          <w:noProof/>
        </w:rPr>
        <w:drawing>
          <wp:inline distT="0" distB="0" distL="0" distR="0" wp14:anchorId="08DB26D6" wp14:editId="5A6D8EF2">
            <wp:extent cx="200025" cy="200025"/>
            <wp:effectExtent l="0" t="0" r="0" b="0"/>
            <wp:docPr id="5"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p>
    <w:p w:rsidR="007A64DB" w:rsidRPr="00553B70" w:rsidRDefault="007A64DB">
      <w:pPr>
        <w:jc w:val="center"/>
        <w:rPr>
          <w:rFonts w:ascii="Arial" w:hAnsi="Arial" w:cs="Arial"/>
        </w:rPr>
      </w:pPr>
    </w:p>
    <w:p w:rsidR="00F85131" w:rsidRDefault="00C11FF5">
      <w:pPr>
        <w:spacing w:after="280"/>
        <w:rPr>
          <w:rFonts w:ascii="Arial" w:eastAsia="Arial" w:hAnsi="Arial" w:cs="Arial"/>
        </w:rPr>
      </w:pPr>
      <w:r w:rsidRPr="00D36CC0">
        <w:rPr>
          <w:rFonts w:ascii="Arial" w:eastAsia="Arial" w:hAnsi="Arial" w:cs="Arial"/>
        </w:rPr>
        <w:t xml:space="preserve">CAGS supports the Budget 2016 commitments to higher education.  The funds committed to the granting councils, $95 million per year and up to $2 billion over three years for a new Post-Secondary Institutions Strategic Investment Fund. In particular, CAGS appreciates that the funds are not “tied” to specific types of research. </w:t>
      </w:r>
    </w:p>
    <w:p w:rsidR="00413632" w:rsidRPr="00D36CC0" w:rsidRDefault="00413632" w:rsidP="00413632">
      <w:pPr>
        <w:spacing w:after="280"/>
        <w:rPr>
          <w:rFonts w:ascii="Arial" w:eastAsia="Arial" w:hAnsi="Arial" w:cs="Arial"/>
          <w:b/>
        </w:rPr>
      </w:pPr>
      <w:r w:rsidRPr="00D36CC0">
        <w:rPr>
          <w:rFonts w:ascii="Arial" w:eastAsia="Arial" w:hAnsi="Arial" w:cs="Arial"/>
          <w:b/>
        </w:rPr>
        <w:t xml:space="preserve">CAGS urges the federal government to continue to increase the financial support for the Tri-Agencies, including an expansion of their base budgets. </w:t>
      </w:r>
    </w:p>
    <w:p w:rsidR="00413632" w:rsidRPr="00553B70" w:rsidRDefault="00413632" w:rsidP="00413632">
      <w:pPr>
        <w:jc w:val="center"/>
        <w:rPr>
          <w:rFonts w:ascii="Arial" w:hAnsi="Arial" w:cs="Arial"/>
        </w:rPr>
      </w:pPr>
      <w:r w:rsidRPr="00553B70">
        <w:rPr>
          <w:rFonts w:ascii="Arial" w:hAnsi="Arial" w:cs="Arial"/>
          <w:noProof/>
        </w:rPr>
        <w:drawing>
          <wp:inline distT="0" distB="0" distL="0" distR="0" wp14:anchorId="7F73949E" wp14:editId="1019787F">
            <wp:extent cx="198356" cy="198356"/>
            <wp:effectExtent l="0" t="0" r="0" b="0"/>
            <wp:docPr id="10" name="image0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3C3066CB" wp14:editId="27E45E9A">
            <wp:extent cx="200025" cy="200025"/>
            <wp:effectExtent l="0" t="0" r="0" b="0"/>
            <wp:docPr id="11"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r w:rsidRPr="00553B70">
        <w:rPr>
          <w:rFonts w:ascii="Arial" w:hAnsi="Arial" w:cs="Arial"/>
          <w:noProof/>
        </w:rPr>
        <w:drawing>
          <wp:inline distT="0" distB="0" distL="0" distR="0" wp14:anchorId="7F0E0026" wp14:editId="5728B993">
            <wp:extent cx="200025" cy="200025"/>
            <wp:effectExtent l="0" t="0" r="0" b="0"/>
            <wp:docPr id="15"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p>
    <w:p w:rsidR="00413632" w:rsidRPr="00553B70" w:rsidRDefault="00413632">
      <w:pPr>
        <w:spacing w:after="280"/>
        <w:rPr>
          <w:rFonts w:ascii="Arial" w:hAnsi="Arial" w:cs="Arial"/>
        </w:rPr>
      </w:pPr>
    </w:p>
    <w:p w:rsidR="009C3320" w:rsidRPr="00F90F2D" w:rsidRDefault="00C11FF5" w:rsidP="009C3320">
      <w:pPr>
        <w:pStyle w:val="CommentText"/>
        <w:rPr>
          <w:rFonts w:ascii="Arial" w:eastAsia="Arial" w:hAnsi="Arial" w:cs="Arial"/>
          <w:sz w:val="24"/>
          <w:szCs w:val="24"/>
        </w:rPr>
      </w:pPr>
      <w:r w:rsidRPr="00F90F2D">
        <w:rPr>
          <w:rFonts w:ascii="Arial" w:eastAsia="Arial" w:hAnsi="Arial" w:cs="Arial"/>
          <w:sz w:val="24"/>
          <w:szCs w:val="24"/>
        </w:rPr>
        <w:t xml:space="preserve"> </w:t>
      </w:r>
      <w:r w:rsidR="009C3320" w:rsidRPr="00F90F2D">
        <w:rPr>
          <w:rFonts w:ascii="Arial" w:eastAsia="Arial" w:hAnsi="Arial" w:cs="Arial"/>
          <w:sz w:val="24"/>
          <w:szCs w:val="24"/>
        </w:rPr>
        <w:t xml:space="preserve">Federal granting council monies fund a significant portion of university research and development, which provides the training ground for graduate students. As such, much of students’ learning and skill acquisition is tied to the particular research environment. </w:t>
      </w:r>
    </w:p>
    <w:p w:rsidR="009C3320" w:rsidRPr="00F90F2D" w:rsidRDefault="009C3320" w:rsidP="009C3320">
      <w:pPr>
        <w:pStyle w:val="CommentText"/>
        <w:rPr>
          <w:rFonts w:ascii="Arial" w:eastAsia="Arial" w:hAnsi="Arial" w:cs="Arial"/>
          <w:sz w:val="24"/>
          <w:szCs w:val="24"/>
        </w:rPr>
      </w:pPr>
    </w:p>
    <w:p w:rsidR="009C3320" w:rsidRPr="00F90F2D" w:rsidRDefault="009C3320" w:rsidP="009C3320">
      <w:pPr>
        <w:pStyle w:val="CommentText"/>
        <w:rPr>
          <w:rFonts w:ascii="Arial" w:eastAsia="Arial" w:hAnsi="Arial" w:cs="Arial"/>
          <w:sz w:val="24"/>
          <w:szCs w:val="24"/>
        </w:rPr>
      </w:pPr>
      <w:r w:rsidRPr="00F90F2D">
        <w:rPr>
          <w:rFonts w:ascii="Arial" w:eastAsia="Arial" w:hAnsi="Arial" w:cs="Arial"/>
          <w:sz w:val="24"/>
          <w:szCs w:val="24"/>
        </w:rPr>
        <w:t>At a time when graduate students must be equipped to translate and apply their skills beyond their area of research or discipline to become leaders in multiple career sectors, opportunities to develop and hone these skills must be a component of all graduate training.</w:t>
      </w:r>
    </w:p>
    <w:p w:rsidR="00F82A3B" w:rsidRPr="00D36CC0" w:rsidRDefault="00F82A3B">
      <w:pPr>
        <w:rPr>
          <w:rFonts w:ascii="Arial" w:eastAsia="Arial" w:hAnsi="Arial" w:cs="Arial"/>
          <w:b/>
        </w:rPr>
      </w:pPr>
    </w:p>
    <w:p w:rsidR="00F85131" w:rsidRPr="00553B70" w:rsidRDefault="00C11FF5">
      <w:pPr>
        <w:rPr>
          <w:rFonts w:ascii="Arial" w:hAnsi="Arial" w:cs="Arial"/>
        </w:rPr>
      </w:pPr>
      <w:r w:rsidRPr="00D36CC0">
        <w:rPr>
          <w:rFonts w:ascii="Arial" w:eastAsia="Arial" w:hAnsi="Arial" w:cs="Arial"/>
          <w:b/>
        </w:rPr>
        <w:t xml:space="preserve">CAGS urges the government to encourage the granting councils to work with both universities and CAGS to recognize the </w:t>
      </w:r>
      <w:r w:rsidR="00FF59F0" w:rsidRPr="00D36CC0">
        <w:rPr>
          <w:rFonts w:ascii="Arial" w:eastAsia="Arial" w:hAnsi="Arial" w:cs="Arial"/>
          <w:b/>
        </w:rPr>
        <w:t>importance of training versatile graduates and ensure that the training environment provide opportunities for graduate trainees to translate and apply their learning beyond their own research areas an</w:t>
      </w:r>
      <w:r w:rsidR="00686230" w:rsidRPr="00D36CC0">
        <w:rPr>
          <w:rFonts w:ascii="Arial" w:eastAsia="Arial" w:hAnsi="Arial" w:cs="Arial"/>
          <w:b/>
        </w:rPr>
        <w:t>d</w:t>
      </w:r>
      <w:r w:rsidR="00FF59F0" w:rsidRPr="00D36CC0">
        <w:rPr>
          <w:rFonts w:ascii="Arial" w:eastAsia="Arial" w:hAnsi="Arial" w:cs="Arial"/>
          <w:b/>
        </w:rPr>
        <w:t xml:space="preserve"> that of their supervisor.  </w:t>
      </w:r>
    </w:p>
    <w:p w:rsidR="00F85131" w:rsidRDefault="00F85131">
      <w:pPr>
        <w:rPr>
          <w:rFonts w:ascii="Arial" w:hAnsi="Arial" w:cs="Arial"/>
        </w:rPr>
      </w:pPr>
    </w:p>
    <w:p w:rsidR="00413632" w:rsidRPr="00553B70" w:rsidRDefault="00413632" w:rsidP="00413632">
      <w:pPr>
        <w:jc w:val="center"/>
        <w:rPr>
          <w:rFonts w:ascii="Arial" w:hAnsi="Arial" w:cs="Arial"/>
        </w:rPr>
      </w:pPr>
      <w:r w:rsidRPr="00553B70">
        <w:rPr>
          <w:rFonts w:ascii="Arial" w:hAnsi="Arial" w:cs="Arial"/>
          <w:noProof/>
        </w:rPr>
        <w:drawing>
          <wp:inline distT="0" distB="0" distL="0" distR="0" wp14:anchorId="50641B56" wp14:editId="2B799167">
            <wp:extent cx="198356" cy="198356"/>
            <wp:effectExtent l="0" t="0" r="0" b="0"/>
            <wp:docPr id="18" name="image0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71CBEA1E" wp14:editId="36E1689A">
            <wp:extent cx="200025" cy="200025"/>
            <wp:effectExtent l="0" t="0" r="0" b="0"/>
            <wp:docPr id="23"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r w:rsidRPr="00553B70">
        <w:rPr>
          <w:rFonts w:ascii="Arial" w:hAnsi="Arial" w:cs="Arial"/>
          <w:noProof/>
        </w:rPr>
        <w:drawing>
          <wp:inline distT="0" distB="0" distL="0" distR="0" wp14:anchorId="00769E69" wp14:editId="61A7DA0A">
            <wp:extent cx="200025" cy="200025"/>
            <wp:effectExtent l="0" t="0" r="0" b="0"/>
            <wp:docPr id="59"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8"/>
                    <a:srcRect/>
                    <a:stretch>
                      <a:fillRect/>
                    </a:stretch>
                  </pic:blipFill>
                  <pic:spPr>
                    <a:xfrm>
                      <a:off x="0" y="0"/>
                      <a:ext cx="200025" cy="200025"/>
                    </a:xfrm>
                    <a:prstGeom prst="rect">
                      <a:avLst/>
                    </a:prstGeom>
                    <a:ln/>
                  </pic:spPr>
                </pic:pic>
              </a:graphicData>
            </a:graphic>
          </wp:inline>
        </w:drawing>
      </w:r>
    </w:p>
    <w:p w:rsidR="00413632" w:rsidRPr="00553B70" w:rsidRDefault="00413632">
      <w:pPr>
        <w:rPr>
          <w:rFonts w:ascii="Arial" w:hAnsi="Arial" w:cs="Arial"/>
        </w:rPr>
      </w:pPr>
    </w:p>
    <w:p w:rsidR="00F85131" w:rsidRPr="00553B70" w:rsidRDefault="00C11FF5">
      <w:pPr>
        <w:rPr>
          <w:rFonts w:ascii="Arial" w:hAnsi="Arial" w:cs="Arial"/>
        </w:rPr>
      </w:pPr>
      <w:r w:rsidRPr="00D36CC0">
        <w:rPr>
          <w:rFonts w:ascii="Arial" w:eastAsia="Arial" w:hAnsi="Arial" w:cs="Arial"/>
        </w:rPr>
        <w:t>The complexity and scope of many of Canada’s and the world’s most important issues require multi-faceted, multi-disciplinary research</w:t>
      </w:r>
      <w:r w:rsidR="00686230" w:rsidRPr="00D36CC0">
        <w:rPr>
          <w:rFonts w:ascii="Arial" w:eastAsia="Arial" w:hAnsi="Arial" w:cs="Arial"/>
        </w:rPr>
        <w:t xml:space="preserve"> that does not necessarily align with on particular granting council. Creative solutions and innovations often stem from the complementarity of ideas and methods of multidisciplinary teams of investigators and students. For these reasons the </w:t>
      </w:r>
      <w:r w:rsidR="002C1129" w:rsidRPr="00D36CC0">
        <w:rPr>
          <w:rFonts w:ascii="Arial" w:eastAsia="Arial" w:hAnsi="Arial" w:cs="Arial"/>
        </w:rPr>
        <w:t>number of newly developed interdisciplinary</w:t>
      </w:r>
      <w:r w:rsidR="00413632">
        <w:rPr>
          <w:rFonts w:ascii="Arial" w:eastAsia="Arial" w:hAnsi="Arial" w:cs="Arial"/>
        </w:rPr>
        <w:t>/cross paradigm</w:t>
      </w:r>
      <w:r w:rsidR="002C1129" w:rsidRPr="00D36CC0">
        <w:rPr>
          <w:rFonts w:ascii="Arial" w:eastAsia="Arial" w:hAnsi="Arial" w:cs="Arial"/>
        </w:rPr>
        <w:t xml:space="preserve"> graduate programs is on the rise. T</w:t>
      </w:r>
      <w:r w:rsidR="00686230" w:rsidRPr="00D36CC0">
        <w:rPr>
          <w:rFonts w:ascii="Arial" w:eastAsia="Arial" w:hAnsi="Arial" w:cs="Arial"/>
        </w:rPr>
        <w:t>he current funding system</w:t>
      </w:r>
      <w:r w:rsidR="002C1129" w:rsidRPr="00D36CC0">
        <w:rPr>
          <w:rFonts w:ascii="Arial" w:eastAsia="Arial" w:hAnsi="Arial" w:cs="Arial"/>
        </w:rPr>
        <w:t>; however, does not systematically support this kind of important and leading-edge research.</w:t>
      </w:r>
    </w:p>
    <w:p w:rsidR="00F85131" w:rsidRPr="00553B70" w:rsidRDefault="00F85131">
      <w:pPr>
        <w:rPr>
          <w:rFonts w:ascii="Arial" w:hAnsi="Arial" w:cs="Arial"/>
        </w:rPr>
      </w:pPr>
    </w:p>
    <w:p w:rsidR="00F85131" w:rsidRPr="00D36CC0" w:rsidRDefault="00C11FF5">
      <w:pPr>
        <w:rPr>
          <w:rFonts w:ascii="Arial" w:eastAsia="Arial" w:hAnsi="Arial" w:cs="Arial"/>
          <w:b/>
        </w:rPr>
      </w:pPr>
      <w:r w:rsidRPr="00D36CC0">
        <w:rPr>
          <w:rFonts w:ascii="Arial" w:eastAsia="Arial" w:hAnsi="Arial" w:cs="Arial"/>
          <w:b/>
        </w:rPr>
        <w:t>CAGS requests that the federal government provide a discrete fund for interdisciplinary</w:t>
      </w:r>
      <w:r w:rsidR="00413632">
        <w:rPr>
          <w:rFonts w:ascii="Arial" w:eastAsia="Arial" w:hAnsi="Arial" w:cs="Arial"/>
          <w:b/>
        </w:rPr>
        <w:t>/cross paradigm</w:t>
      </w:r>
      <w:r w:rsidR="0008588D">
        <w:rPr>
          <w:rFonts w:ascii="Arial" w:eastAsia="Arial" w:hAnsi="Arial" w:cs="Arial"/>
          <w:b/>
        </w:rPr>
        <w:t xml:space="preserve"> </w:t>
      </w:r>
      <w:r w:rsidRPr="00D36CC0">
        <w:rPr>
          <w:rFonts w:ascii="Arial" w:eastAsia="Arial" w:hAnsi="Arial" w:cs="Arial"/>
          <w:b/>
        </w:rPr>
        <w:t xml:space="preserve">research to be managed </w:t>
      </w:r>
      <w:r w:rsidR="001351B1" w:rsidRPr="00D36CC0">
        <w:rPr>
          <w:rFonts w:ascii="Arial" w:eastAsia="Arial" w:hAnsi="Arial" w:cs="Arial"/>
          <w:b/>
        </w:rPr>
        <w:t>collectively by the</w:t>
      </w:r>
      <w:r w:rsidRPr="00D36CC0">
        <w:rPr>
          <w:rFonts w:ascii="Arial" w:eastAsia="Arial" w:hAnsi="Arial" w:cs="Arial"/>
          <w:b/>
        </w:rPr>
        <w:t xml:space="preserve"> granting councils.</w:t>
      </w:r>
    </w:p>
    <w:p w:rsidR="008A2E87" w:rsidRPr="00553B70" w:rsidRDefault="008A2E87">
      <w:pPr>
        <w:rPr>
          <w:rFonts w:ascii="Arial" w:hAnsi="Arial" w:cs="Arial"/>
        </w:rPr>
      </w:pPr>
    </w:p>
    <w:p w:rsidR="00F85131" w:rsidRPr="00553B70" w:rsidRDefault="00C11FF5">
      <w:pPr>
        <w:jc w:val="center"/>
        <w:rPr>
          <w:rFonts w:ascii="Arial" w:hAnsi="Arial" w:cs="Arial"/>
        </w:rPr>
      </w:pPr>
      <w:r w:rsidRPr="00553B70">
        <w:rPr>
          <w:rFonts w:ascii="Arial" w:hAnsi="Arial" w:cs="Arial"/>
          <w:noProof/>
        </w:rPr>
        <w:drawing>
          <wp:inline distT="0" distB="0" distL="0" distR="0" wp14:anchorId="7F649ECD" wp14:editId="522D1CBA">
            <wp:extent cx="198356" cy="198356"/>
            <wp:effectExtent l="0" t="0" r="0" b="0"/>
            <wp:docPr id="2" name="image0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2.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27B3E7F5" wp14:editId="3BD67A6B">
            <wp:extent cx="198356" cy="198356"/>
            <wp:effectExtent l="0" t="0" r="0" b="0"/>
            <wp:docPr id="56"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2E234199" wp14:editId="1998658C">
            <wp:extent cx="198356" cy="198356"/>
            <wp:effectExtent l="0" t="0" r="0" b="0"/>
            <wp:docPr id="57"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7A64DB" w:rsidRDefault="007A64DB">
      <w:pPr>
        <w:spacing w:after="280"/>
        <w:rPr>
          <w:rFonts w:ascii="Arial" w:eastAsia="Arial" w:hAnsi="Arial" w:cs="Arial"/>
          <w:b/>
        </w:rPr>
      </w:pPr>
    </w:p>
    <w:p w:rsidR="00F85131" w:rsidRDefault="00C11FF5">
      <w:pPr>
        <w:spacing w:after="280"/>
        <w:rPr>
          <w:rFonts w:ascii="Arial" w:eastAsia="Arial" w:hAnsi="Arial" w:cs="Arial"/>
          <w:b/>
        </w:rPr>
      </w:pPr>
      <w:r w:rsidRPr="00D36CC0">
        <w:rPr>
          <w:rFonts w:ascii="Arial" w:eastAsia="Arial" w:hAnsi="Arial" w:cs="Arial"/>
          <w:b/>
        </w:rPr>
        <w:t>CAGS asks the federal government to increase the funding to the Canadian Foundation for Innovation and to ensure that the funds available to it for distribution are provided consistently. This stability will improve its impact and the productivity of res</w:t>
      </w:r>
      <w:r w:rsidR="00376883" w:rsidRPr="00D36CC0">
        <w:rPr>
          <w:rFonts w:ascii="Arial" w:eastAsia="Arial" w:hAnsi="Arial" w:cs="Arial"/>
          <w:b/>
        </w:rPr>
        <w:t>ea</w:t>
      </w:r>
      <w:r w:rsidRPr="00D36CC0">
        <w:rPr>
          <w:rFonts w:ascii="Arial" w:eastAsia="Arial" w:hAnsi="Arial" w:cs="Arial"/>
          <w:b/>
        </w:rPr>
        <w:t>rchers.</w:t>
      </w:r>
    </w:p>
    <w:p w:rsidR="00413632" w:rsidRDefault="00413632">
      <w:pPr>
        <w:spacing w:after="280"/>
        <w:rPr>
          <w:rFonts w:ascii="Arial" w:eastAsia="Arial" w:hAnsi="Arial" w:cs="Arial"/>
          <w:b/>
        </w:rPr>
      </w:pPr>
      <w:r>
        <w:rPr>
          <w:rFonts w:ascii="Arial" w:eastAsia="Arial" w:hAnsi="Arial" w:cs="Arial"/>
          <w:b/>
        </w:rPr>
        <w:t>Additionally, CAGS asks that the CFI programs that require matching from provincial sources be rethought to ensure that all provinces</w:t>
      </w:r>
      <w:r w:rsidR="0008588D">
        <w:rPr>
          <w:rFonts w:ascii="Arial" w:eastAsia="Arial" w:hAnsi="Arial" w:cs="Arial"/>
          <w:b/>
        </w:rPr>
        <w:t xml:space="preserve"> and therefore univer</w:t>
      </w:r>
      <w:r>
        <w:rPr>
          <w:rFonts w:ascii="Arial" w:eastAsia="Arial" w:hAnsi="Arial" w:cs="Arial"/>
          <w:b/>
        </w:rPr>
        <w:t>sit</w:t>
      </w:r>
      <w:r w:rsidR="0008588D">
        <w:rPr>
          <w:rFonts w:ascii="Arial" w:eastAsia="Arial" w:hAnsi="Arial" w:cs="Arial"/>
          <w:b/>
        </w:rPr>
        <w:t>ies in all provinc</w:t>
      </w:r>
      <w:r>
        <w:rPr>
          <w:rFonts w:ascii="Arial" w:eastAsia="Arial" w:hAnsi="Arial" w:cs="Arial"/>
          <w:b/>
        </w:rPr>
        <w:t>es are able to participate.</w:t>
      </w:r>
    </w:p>
    <w:p w:rsidR="00413632" w:rsidRPr="00553B70" w:rsidRDefault="00413632">
      <w:pPr>
        <w:spacing w:after="280"/>
        <w:rPr>
          <w:rFonts w:ascii="Arial" w:hAnsi="Arial" w:cs="Arial"/>
        </w:rPr>
      </w:pPr>
    </w:p>
    <w:p w:rsidR="00F85131" w:rsidRPr="00553B70" w:rsidRDefault="00C11FF5" w:rsidP="00376883">
      <w:pPr>
        <w:spacing w:after="280"/>
        <w:jc w:val="center"/>
        <w:rPr>
          <w:rFonts w:ascii="Arial" w:hAnsi="Arial" w:cs="Arial"/>
        </w:rPr>
      </w:pPr>
      <w:r w:rsidRPr="00553B70">
        <w:rPr>
          <w:rFonts w:ascii="Arial" w:hAnsi="Arial" w:cs="Arial"/>
          <w:noProof/>
        </w:rPr>
        <w:drawing>
          <wp:inline distT="0" distB="0" distL="0" distR="0" wp14:anchorId="5EAF7FB9" wp14:editId="0DC3BB85">
            <wp:extent cx="198356" cy="198356"/>
            <wp:effectExtent l="0" t="0" r="0" b="0"/>
            <wp:docPr id="17" name="image1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7.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28FD9298" wp14:editId="22ED8A51">
            <wp:extent cx="198356" cy="198356"/>
            <wp:effectExtent l="0" t="0" r="0" b="0"/>
            <wp:docPr id="4" name="image0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4.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0DE008A4" wp14:editId="66B82C6E">
            <wp:extent cx="198356" cy="198356"/>
            <wp:effectExtent l="0" t="0" r="0" b="0"/>
            <wp:docPr id="6" name="image0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6.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F85131" w:rsidRPr="00553B70" w:rsidRDefault="00F85131">
      <w:pPr>
        <w:jc w:val="center"/>
        <w:rPr>
          <w:rFonts w:ascii="Arial" w:hAnsi="Arial" w:cs="Arial"/>
        </w:rPr>
      </w:pPr>
    </w:p>
    <w:p w:rsidR="00F85131" w:rsidRPr="00553B70" w:rsidRDefault="001351B1">
      <w:pPr>
        <w:spacing w:after="280"/>
        <w:rPr>
          <w:rFonts w:ascii="Arial" w:hAnsi="Arial" w:cs="Arial"/>
        </w:rPr>
      </w:pPr>
      <w:r w:rsidRPr="00D36CC0">
        <w:rPr>
          <w:rFonts w:ascii="Arial" w:eastAsia="Arial" w:hAnsi="Arial" w:cs="Arial"/>
        </w:rPr>
        <w:t>The majority of</w:t>
      </w:r>
      <w:r w:rsidR="00C11FF5" w:rsidRPr="00D36CC0">
        <w:rPr>
          <w:rFonts w:ascii="Arial" w:eastAsia="Arial" w:hAnsi="Arial" w:cs="Arial"/>
        </w:rPr>
        <w:t xml:space="preserve"> PhD graduates </w:t>
      </w:r>
      <w:r w:rsidRPr="00D36CC0">
        <w:rPr>
          <w:rFonts w:ascii="Arial" w:eastAsia="Arial" w:hAnsi="Arial" w:cs="Arial"/>
        </w:rPr>
        <w:t xml:space="preserve">work outside the PSE sector. </w:t>
      </w:r>
      <w:r w:rsidR="00C11FF5" w:rsidRPr="00D36CC0">
        <w:rPr>
          <w:rFonts w:ascii="Arial" w:eastAsia="Arial" w:hAnsi="Arial" w:cs="Arial"/>
        </w:rPr>
        <w:t xml:space="preserve"> The labour outcomes for earned doctorates, including the frequently </w:t>
      </w:r>
      <w:r w:rsidR="00061196">
        <w:rPr>
          <w:rFonts w:ascii="Arial" w:eastAsia="Arial" w:hAnsi="Arial" w:cs="Arial"/>
        </w:rPr>
        <w:t xml:space="preserve">referenced </w:t>
      </w:r>
      <w:r w:rsidR="00C11FF5" w:rsidRPr="00D36CC0">
        <w:rPr>
          <w:rFonts w:ascii="Arial" w:eastAsia="Arial" w:hAnsi="Arial" w:cs="Arial"/>
        </w:rPr>
        <w:t xml:space="preserve">20% employment in the professoriate, have remained stable over the past 15 years despite a 72% increase in Canadian PhD degrees granted (2002 to 2012). This shows a constant absorption of research and creative talent into diverse careers. Indeed, two decades of data shows that over half of PhD graduates find work outside of the academy. This is good news. We see the opportunities for newly minted PhDs to </w:t>
      </w:r>
      <w:r w:rsidR="00CF372D" w:rsidRPr="00D36CC0">
        <w:rPr>
          <w:rFonts w:ascii="Arial" w:eastAsia="Arial" w:hAnsi="Arial" w:cs="Arial"/>
        </w:rPr>
        <w:t xml:space="preserve">bring their range of skills and knowledge into </w:t>
      </w:r>
      <w:r w:rsidR="00C11FF5" w:rsidRPr="00D36CC0">
        <w:rPr>
          <w:rFonts w:ascii="Arial" w:eastAsia="Arial" w:hAnsi="Arial" w:cs="Arial"/>
        </w:rPr>
        <w:t>public and private sector</w:t>
      </w:r>
      <w:r w:rsidR="00CF372D" w:rsidRPr="00D36CC0">
        <w:rPr>
          <w:rFonts w:ascii="Arial" w:eastAsia="Arial" w:hAnsi="Arial" w:cs="Arial"/>
        </w:rPr>
        <w:t>s</w:t>
      </w:r>
      <w:r w:rsidR="00C11FF5" w:rsidRPr="00D36CC0">
        <w:rPr>
          <w:rFonts w:ascii="Arial" w:eastAsia="Arial" w:hAnsi="Arial" w:cs="Arial"/>
        </w:rPr>
        <w:t xml:space="preserve"> </w:t>
      </w:r>
      <w:r w:rsidR="00CF372D" w:rsidRPr="00D36CC0">
        <w:rPr>
          <w:rFonts w:ascii="Arial" w:eastAsia="Arial" w:hAnsi="Arial" w:cs="Arial"/>
        </w:rPr>
        <w:t xml:space="preserve">where they can build on their training to effect positive changes and advancement. The investment in a highly qualified workforce </w:t>
      </w:r>
      <w:r w:rsidR="00C11FF5" w:rsidRPr="00D36CC0">
        <w:rPr>
          <w:rFonts w:ascii="Arial" w:eastAsia="Arial" w:hAnsi="Arial" w:cs="Arial"/>
        </w:rPr>
        <w:t xml:space="preserve">drives creativity, innovation and advancement in all sectors leading to a healthier, vibrant Canadian economy.   </w:t>
      </w:r>
    </w:p>
    <w:p w:rsidR="00F85131" w:rsidRPr="00553B70" w:rsidRDefault="00C11FF5">
      <w:pPr>
        <w:spacing w:after="280"/>
        <w:rPr>
          <w:rFonts w:ascii="Arial" w:hAnsi="Arial" w:cs="Arial"/>
        </w:rPr>
      </w:pPr>
      <w:r w:rsidRPr="00D36CC0">
        <w:rPr>
          <w:rFonts w:ascii="Arial" w:eastAsia="Arial" w:hAnsi="Arial" w:cs="Arial"/>
        </w:rPr>
        <w:t>All students, whether in research or professional programs,</w:t>
      </w:r>
      <w:r w:rsidR="00CF372D" w:rsidRPr="00D36CC0">
        <w:rPr>
          <w:rFonts w:ascii="Arial" w:eastAsia="Arial" w:hAnsi="Arial" w:cs="Arial"/>
        </w:rPr>
        <w:t xml:space="preserve"> </w:t>
      </w:r>
      <w:r w:rsidRPr="00D36CC0">
        <w:rPr>
          <w:rFonts w:ascii="Arial" w:eastAsia="Arial" w:hAnsi="Arial" w:cs="Arial"/>
        </w:rPr>
        <w:t xml:space="preserve">can benefit from reliable, timely labour market information. </w:t>
      </w:r>
    </w:p>
    <w:p w:rsidR="00F85131" w:rsidRPr="00553B70" w:rsidRDefault="00C11FF5">
      <w:pPr>
        <w:spacing w:after="280"/>
        <w:rPr>
          <w:rFonts w:ascii="Arial" w:hAnsi="Arial" w:cs="Arial"/>
        </w:rPr>
      </w:pPr>
      <w:r w:rsidRPr="00D36CC0">
        <w:rPr>
          <w:rFonts w:ascii="Arial" w:eastAsia="Arial" w:hAnsi="Arial" w:cs="Arial"/>
        </w:rPr>
        <w:t>CAGS appreciates the report prepared for the Business Council of Canada and the call for the Forum of Labour Ministers’ new Labour Market Information (LMI) Council to engage in active collaboration between the federal government, the provinces and territories. This will help align LMI information, using common survey questions and definitions</w:t>
      </w:r>
      <w:r w:rsidR="00CF372D" w:rsidRPr="00D36CC0">
        <w:rPr>
          <w:rFonts w:ascii="Arial" w:eastAsia="Arial" w:hAnsi="Arial" w:cs="Arial"/>
        </w:rPr>
        <w:t xml:space="preserve">, which will </w:t>
      </w:r>
      <w:r w:rsidRPr="00D36CC0">
        <w:rPr>
          <w:rFonts w:ascii="Arial" w:eastAsia="Arial" w:hAnsi="Arial" w:cs="Arial"/>
        </w:rPr>
        <w:t xml:space="preserve">permit </w:t>
      </w:r>
      <w:r w:rsidR="00CF372D" w:rsidRPr="00D36CC0">
        <w:rPr>
          <w:rFonts w:ascii="Arial" w:eastAsia="Arial" w:hAnsi="Arial" w:cs="Arial"/>
        </w:rPr>
        <w:t xml:space="preserve">meaningful </w:t>
      </w:r>
      <w:r w:rsidRPr="00D36CC0">
        <w:rPr>
          <w:rFonts w:ascii="Arial" w:eastAsia="Arial" w:hAnsi="Arial" w:cs="Arial"/>
        </w:rPr>
        <w:t xml:space="preserve">comparisons across jurisdictions. </w:t>
      </w:r>
    </w:p>
    <w:p w:rsidR="00F85131" w:rsidRPr="00553B70" w:rsidRDefault="00C11FF5">
      <w:pPr>
        <w:rPr>
          <w:rFonts w:ascii="Arial" w:hAnsi="Arial" w:cs="Arial"/>
        </w:rPr>
      </w:pPr>
      <w:r w:rsidRPr="00D36CC0">
        <w:rPr>
          <w:rFonts w:ascii="Arial" w:eastAsia="Arial" w:hAnsi="Arial" w:cs="Arial"/>
          <w:b/>
        </w:rPr>
        <w:t xml:space="preserve">CAGS urges the Federal Government to champion the Labour Market Information initiative, providing appropriate permissions and funds to ensure that LMI is accurate, </w:t>
      </w:r>
      <w:r w:rsidR="00CF372D" w:rsidRPr="00D36CC0">
        <w:rPr>
          <w:rFonts w:ascii="Arial" w:eastAsia="Arial" w:hAnsi="Arial" w:cs="Arial"/>
          <w:b/>
        </w:rPr>
        <w:t xml:space="preserve">reliable, accessible </w:t>
      </w:r>
      <w:r w:rsidRPr="00D36CC0">
        <w:rPr>
          <w:rFonts w:ascii="Arial" w:eastAsia="Arial" w:hAnsi="Arial" w:cs="Arial"/>
          <w:b/>
        </w:rPr>
        <w:t xml:space="preserve">and timely. </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rPr>
        <w:t>A number of institutions have worked with the University of Ottawa’s Education Research Partnership Initiative over the past few years to better understand post-graduation pathway</w:t>
      </w:r>
      <w:r w:rsidR="00CF372D" w:rsidRPr="00D36CC0">
        <w:rPr>
          <w:rFonts w:ascii="Arial" w:eastAsia="Arial" w:hAnsi="Arial" w:cs="Arial"/>
        </w:rPr>
        <w:t xml:space="preserve">s. </w:t>
      </w:r>
      <w:r w:rsidRPr="00D36CC0">
        <w:rPr>
          <w:rFonts w:ascii="Arial" w:eastAsia="Arial" w:hAnsi="Arial" w:cs="Arial"/>
        </w:rPr>
        <w:t xml:space="preserve">This information is useful is crucial to understanding the </w:t>
      </w:r>
      <w:r w:rsidR="000F112C" w:rsidRPr="00D36CC0">
        <w:rPr>
          <w:rFonts w:ascii="Arial" w:eastAsia="Arial" w:hAnsi="Arial" w:cs="Arial"/>
        </w:rPr>
        <w:t>outcomes of investing in our talent pool of advanced degree holders and in supporting the scope of graduate programs.</w:t>
      </w:r>
      <w:r w:rsidRPr="00D36CC0">
        <w:rPr>
          <w:rFonts w:ascii="Arial" w:eastAsia="Arial" w:hAnsi="Arial" w:cs="Arial"/>
        </w:rPr>
        <w:t xml:space="preserve"> </w:t>
      </w:r>
    </w:p>
    <w:p w:rsidR="00F85131" w:rsidRPr="00553B70" w:rsidRDefault="00F85131">
      <w:pPr>
        <w:rPr>
          <w:rFonts w:ascii="Arial" w:hAnsi="Arial" w:cs="Arial"/>
        </w:rPr>
      </w:pPr>
    </w:p>
    <w:p w:rsidR="00F85131" w:rsidRPr="00553B70" w:rsidRDefault="00C11FF5">
      <w:pPr>
        <w:rPr>
          <w:rFonts w:ascii="Arial" w:hAnsi="Arial" w:cs="Arial"/>
        </w:rPr>
      </w:pPr>
      <w:r w:rsidRPr="00D36CC0">
        <w:rPr>
          <w:rFonts w:ascii="Arial" w:eastAsia="Arial" w:hAnsi="Arial" w:cs="Arial"/>
          <w:b/>
        </w:rPr>
        <w:t>CAGS urges the federal government to consider methodologies to follow graduate student pathways post-university in order that reliable information on employment and income is available to students, employers and universities.</w:t>
      </w:r>
    </w:p>
    <w:p w:rsidR="00F85131" w:rsidRPr="00553B70" w:rsidRDefault="00F85131">
      <w:pPr>
        <w:rPr>
          <w:rFonts w:ascii="Arial" w:hAnsi="Arial" w:cs="Arial"/>
        </w:rPr>
      </w:pPr>
    </w:p>
    <w:p w:rsidR="00F85131" w:rsidRPr="00553B70" w:rsidRDefault="00C11FF5">
      <w:pPr>
        <w:spacing w:after="280"/>
        <w:jc w:val="center"/>
        <w:rPr>
          <w:rFonts w:ascii="Arial" w:hAnsi="Arial" w:cs="Arial"/>
        </w:rPr>
      </w:pPr>
      <w:r w:rsidRPr="00553B70">
        <w:rPr>
          <w:rFonts w:ascii="Arial" w:hAnsi="Arial" w:cs="Arial"/>
          <w:noProof/>
        </w:rPr>
        <w:drawing>
          <wp:inline distT="0" distB="0" distL="0" distR="0" wp14:anchorId="186CF35B" wp14:editId="26C099B7">
            <wp:extent cx="198356" cy="198356"/>
            <wp:effectExtent l="0" t="0" r="0" b="0"/>
            <wp:docPr id="7" name="image0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7.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45D5C909" wp14:editId="358E4A04">
            <wp:extent cx="198356" cy="198356"/>
            <wp:effectExtent l="0" t="0" r="0" b="0"/>
            <wp:docPr id="8" name="image0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8.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2EBA5CF0" wp14:editId="3E8C22BA">
            <wp:extent cx="198356" cy="198356"/>
            <wp:effectExtent l="0" t="0" r="0" b="0"/>
            <wp:docPr id="9" name="image0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9.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F85131" w:rsidRPr="00553B70" w:rsidRDefault="00C11FF5">
      <w:pPr>
        <w:rPr>
          <w:rFonts w:ascii="Arial" w:hAnsi="Arial" w:cs="Arial"/>
        </w:rPr>
      </w:pPr>
      <w:r w:rsidRPr="00D36CC0">
        <w:rPr>
          <w:rFonts w:ascii="Arial" w:eastAsia="Arial" w:hAnsi="Arial" w:cs="Arial"/>
        </w:rPr>
        <w:t xml:space="preserve">In the last ten years, graduate schools have realized the need for better “bridging” initiatives. They have invested in non-academic training and coaching to prepare students for employment. Increasingly, graduate schools use internships or other forms of experiential learning to provide graduates with the </w:t>
      </w:r>
      <w:r w:rsidR="000F112C" w:rsidRPr="00D36CC0">
        <w:rPr>
          <w:rFonts w:ascii="Arial" w:eastAsia="Arial" w:hAnsi="Arial" w:cs="Arial"/>
        </w:rPr>
        <w:t xml:space="preserve">opportunities to apply and translate their learning beyond the academic environment, which </w:t>
      </w:r>
      <w:r w:rsidRPr="00D36CC0">
        <w:rPr>
          <w:rFonts w:ascii="Arial" w:eastAsia="Arial" w:hAnsi="Arial" w:cs="Arial"/>
        </w:rPr>
        <w:t xml:space="preserve">will assist them to be employment-ready. </w:t>
      </w:r>
    </w:p>
    <w:p w:rsidR="00F85131" w:rsidRPr="00553B70" w:rsidRDefault="00C11FF5">
      <w:pPr>
        <w:spacing w:after="280"/>
        <w:rPr>
          <w:rFonts w:ascii="Arial" w:hAnsi="Arial" w:cs="Arial"/>
        </w:rPr>
      </w:pPr>
      <w:r w:rsidRPr="00D36CC0">
        <w:rPr>
          <w:rFonts w:ascii="Arial" w:eastAsia="Arial" w:hAnsi="Arial" w:cs="Arial"/>
        </w:rPr>
        <w:t xml:space="preserve">It is for this reason that CAGS is pleased that the government provided additional funds to </w:t>
      </w:r>
      <w:r w:rsidR="007A64DB" w:rsidRPr="00D36CC0">
        <w:rPr>
          <w:rFonts w:ascii="Arial" w:eastAsia="Arial" w:hAnsi="Arial" w:cs="Arial"/>
        </w:rPr>
        <w:t>M</w:t>
      </w:r>
      <w:r w:rsidR="007A64DB">
        <w:rPr>
          <w:rFonts w:ascii="Arial" w:eastAsia="Arial" w:hAnsi="Arial" w:cs="Arial"/>
        </w:rPr>
        <w:t>ITACS</w:t>
      </w:r>
      <w:r w:rsidR="007A64DB" w:rsidRPr="00D36CC0">
        <w:rPr>
          <w:rFonts w:ascii="Arial" w:eastAsia="Arial" w:hAnsi="Arial" w:cs="Arial"/>
        </w:rPr>
        <w:t xml:space="preserve"> </w:t>
      </w:r>
      <w:r w:rsidRPr="00D36CC0">
        <w:rPr>
          <w:rFonts w:ascii="Arial" w:eastAsia="Arial" w:hAnsi="Arial" w:cs="Arial"/>
        </w:rPr>
        <w:t>in the l</w:t>
      </w:r>
      <w:r w:rsidR="00771377" w:rsidRPr="00D36CC0">
        <w:rPr>
          <w:rFonts w:ascii="Arial" w:eastAsia="Arial" w:hAnsi="Arial" w:cs="Arial"/>
        </w:rPr>
        <w:t xml:space="preserve">ast budget. Their </w:t>
      </w:r>
      <w:r w:rsidRPr="00D36CC0">
        <w:rPr>
          <w:rFonts w:ascii="Arial" w:eastAsia="Arial" w:hAnsi="Arial" w:cs="Arial"/>
        </w:rPr>
        <w:t>support</w:t>
      </w:r>
      <w:r w:rsidR="00771377" w:rsidRPr="00D36CC0">
        <w:rPr>
          <w:rFonts w:ascii="Arial" w:eastAsia="Arial" w:hAnsi="Arial" w:cs="Arial"/>
        </w:rPr>
        <w:t xml:space="preserve"> of </w:t>
      </w:r>
      <w:r w:rsidRPr="00D36CC0">
        <w:rPr>
          <w:rFonts w:ascii="Arial" w:eastAsia="Arial" w:hAnsi="Arial" w:cs="Arial"/>
        </w:rPr>
        <w:t>internships and fellowships is helping Canadian universities attract top students from around the world.</w:t>
      </w:r>
      <w:r w:rsidR="00771377" w:rsidRPr="00D36CC0">
        <w:rPr>
          <w:rFonts w:ascii="Arial" w:eastAsia="Arial" w:hAnsi="Arial" w:cs="Arial"/>
        </w:rPr>
        <w:t xml:space="preserve"> It </w:t>
      </w:r>
      <w:r w:rsidR="000F112C" w:rsidRPr="00D36CC0">
        <w:rPr>
          <w:rFonts w:ascii="Arial" w:eastAsia="Arial" w:hAnsi="Arial" w:cs="Arial"/>
        </w:rPr>
        <w:t xml:space="preserve">provides </w:t>
      </w:r>
      <w:r w:rsidRPr="00D36CC0">
        <w:rPr>
          <w:rFonts w:ascii="Arial" w:eastAsia="Arial" w:hAnsi="Arial" w:cs="Arial"/>
        </w:rPr>
        <w:t xml:space="preserve">students </w:t>
      </w:r>
      <w:r w:rsidR="000F112C" w:rsidRPr="00D36CC0">
        <w:rPr>
          <w:rFonts w:ascii="Arial" w:eastAsia="Arial" w:hAnsi="Arial" w:cs="Arial"/>
        </w:rPr>
        <w:t>studying in Canada the</w:t>
      </w:r>
      <w:r w:rsidRPr="00D36CC0">
        <w:rPr>
          <w:rFonts w:ascii="Arial" w:eastAsia="Arial" w:hAnsi="Arial" w:cs="Arial"/>
        </w:rPr>
        <w:t xml:space="preserve"> advantage of </w:t>
      </w:r>
      <w:r w:rsidR="000F112C" w:rsidRPr="00D36CC0">
        <w:rPr>
          <w:rFonts w:ascii="Arial" w:eastAsia="Arial" w:hAnsi="Arial" w:cs="Arial"/>
        </w:rPr>
        <w:t xml:space="preserve">specialized </w:t>
      </w:r>
      <w:r w:rsidRPr="00D36CC0">
        <w:rPr>
          <w:rFonts w:ascii="Arial" w:eastAsia="Arial" w:hAnsi="Arial" w:cs="Arial"/>
        </w:rPr>
        <w:t>trai</w:t>
      </w:r>
      <w:r w:rsidR="00771377" w:rsidRPr="00D36CC0">
        <w:rPr>
          <w:rFonts w:ascii="Arial" w:eastAsia="Arial" w:hAnsi="Arial" w:cs="Arial"/>
        </w:rPr>
        <w:t xml:space="preserve">ning opportunities. These are </w:t>
      </w:r>
      <w:r w:rsidRPr="00D36CC0">
        <w:rPr>
          <w:rFonts w:ascii="Arial" w:eastAsia="Arial" w:hAnsi="Arial" w:cs="Arial"/>
        </w:rPr>
        <w:t>an important link in the continuum of options and opportunities and will help propel Canada to success in the 21</w:t>
      </w:r>
      <w:r w:rsidRPr="00D36CC0">
        <w:rPr>
          <w:rFonts w:ascii="Arial" w:eastAsia="Arial" w:hAnsi="Arial" w:cs="Arial"/>
          <w:vertAlign w:val="superscript"/>
        </w:rPr>
        <w:t>st</w:t>
      </w:r>
      <w:r w:rsidRPr="00D36CC0">
        <w:rPr>
          <w:rFonts w:ascii="Arial" w:eastAsia="Arial" w:hAnsi="Arial" w:cs="Arial"/>
        </w:rPr>
        <w:t xml:space="preserve"> century.</w:t>
      </w:r>
    </w:p>
    <w:p w:rsidR="00F85131" w:rsidRPr="00553B70" w:rsidRDefault="00C11FF5">
      <w:pPr>
        <w:rPr>
          <w:rFonts w:ascii="Arial" w:hAnsi="Arial" w:cs="Arial"/>
        </w:rPr>
      </w:pPr>
      <w:r w:rsidRPr="00D36CC0">
        <w:rPr>
          <w:rFonts w:ascii="Arial" w:eastAsia="Arial" w:hAnsi="Arial" w:cs="Arial"/>
        </w:rPr>
        <w:t xml:space="preserve">The MITACS investment is recognition that early student exposure to the workplace benefits both their career trajectory and the organizations where they work. The results are impressive with 25% of businesses participating through </w:t>
      </w:r>
      <w:r w:rsidR="007A64DB" w:rsidRPr="00D36CC0">
        <w:rPr>
          <w:rFonts w:ascii="Arial" w:eastAsia="Arial" w:hAnsi="Arial" w:cs="Arial"/>
        </w:rPr>
        <w:t>M</w:t>
      </w:r>
      <w:r w:rsidR="007A64DB">
        <w:rPr>
          <w:rFonts w:ascii="Arial" w:eastAsia="Arial" w:hAnsi="Arial" w:cs="Arial"/>
        </w:rPr>
        <w:t>ITACS</w:t>
      </w:r>
      <w:r w:rsidR="007A64DB" w:rsidRPr="00D36CC0">
        <w:rPr>
          <w:rFonts w:ascii="Arial" w:eastAsia="Arial" w:hAnsi="Arial" w:cs="Arial"/>
        </w:rPr>
        <w:t xml:space="preserve"> </w:t>
      </w:r>
      <w:r w:rsidRPr="00D36CC0">
        <w:rPr>
          <w:rFonts w:ascii="Arial" w:eastAsia="Arial" w:hAnsi="Arial" w:cs="Arial"/>
        </w:rPr>
        <w:t xml:space="preserve">creating new positions to hire their interns post-graduation and 26% stating that the experience led them to hire new employees. Job creation and hiring of highly trained personnel is valuable to Canada’s economic agenda. We look forward to working with </w:t>
      </w:r>
      <w:r w:rsidR="007A64DB" w:rsidRPr="00D36CC0">
        <w:rPr>
          <w:rFonts w:ascii="Arial" w:eastAsia="Arial" w:hAnsi="Arial" w:cs="Arial"/>
        </w:rPr>
        <w:t>M</w:t>
      </w:r>
      <w:r w:rsidR="007A64DB">
        <w:rPr>
          <w:rFonts w:ascii="Arial" w:eastAsia="Arial" w:hAnsi="Arial" w:cs="Arial"/>
        </w:rPr>
        <w:t>ITACS</w:t>
      </w:r>
      <w:r w:rsidR="007A64DB" w:rsidRPr="00D36CC0">
        <w:rPr>
          <w:rFonts w:ascii="Arial" w:eastAsia="Arial" w:hAnsi="Arial" w:cs="Arial"/>
        </w:rPr>
        <w:t xml:space="preserve"> </w:t>
      </w:r>
      <w:r w:rsidRPr="00D36CC0">
        <w:rPr>
          <w:rFonts w:ascii="Arial" w:eastAsia="Arial" w:hAnsi="Arial" w:cs="Arial"/>
        </w:rPr>
        <w:t>to further expand its exceptional approach beyond STEM.</w:t>
      </w:r>
      <w:r w:rsidR="00824A69" w:rsidRPr="00D36CC0">
        <w:rPr>
          <w:rFonts w:ascii="Arial" w:eastAsia="Arial" w:hAnsi="Arial" w:cs="Arial"/>
        </w:rPr>
        <w:t xml:space="preserve"> That said, the challenge of identifying partner organizations who can supply the required match-funding in non-STEM disciplines is a very real limitation, which means that students in these areas of study may not be able to participate in an internship. </w:t>
      </w:r>
    </w:p>
    <w:p w:rsidR="00F85131" w:rsidRPr="00553B70" w:rsidRDefault="00F85131">
      <w:pPr>
        <w:rPr>
          <w:rFonts w:ascii="Arial" w:hAnsi="Arial" w:cs="Arial"/>
        </w:rPr>
      </w:pPr>
    </w:p>
    <w:p w:rsidR="00771377" w:rsidRPr="00553B70" w:rsidRDefault="00771377">
      <w:pPr>
        <w:rPr>
          <w:rFonts w:ascii="Arial" w:hAnsi="Arial" w:cs="Arial"/>
        </w:rPr>
      </w:pPr>
    </w:p>
    <w:p w:rsidR="00F85131" w:rsidRPr="00553B70" w:rsidRDefault="00C11FF5">
      <w:pPr>
        <w:rPr>
          <w:rFonts w:ascii="Arial" w:hAnsi="Arial" w:cs="Arial"/>
        </w:rPr>
      </w:pPr>
      <w:r w:rsidRPr="00D36CC0">
        <w:rPr>
          <w:rFonts w:ascii="Arial" w:eastAsia="Arial" w:hAnsi="Arial" w:cs="Arial"/>
          <w:b/>
        </w:rPr>
        <w:t xml:space="preserve">CAGS calls for </w:t>
      </w:r>
      <w:r w:rsidR="00D36CC0" w:rsidRPr="00D36CC0">
        <w:rPr>
          <w:rFonts w:ascii="Arial" w:eastAsia="Arial" w:hAnsi="Arial" w:cs="Arial"/>
          <w:b/>
        </w:rPr>
        <w:t>an</w:t>
      </w:r>
      <w:r w:rsidR="00061196">
        <w:rPr>
          <w:rFonts w:ascii="Arial" w:eastAsia="Arial" w:hAnsi="Arial" w:cs="Arial"/>
          <w:b/>
        </w:rPr>
        <w:t xml:space="preserve"> exploration</w:t>
      </w:r>
      <w:r w:rsidR="007A64DB">
        <w:rPr>
          <w:rFonts w:ascii="Arial" w:eastAsia="Arial" w:hAnsi="Arial" w:cs="Arial"/>
          <w:b/>
        </w:rPr>
        <w:t xml:space="preserve"> </w:t>
      </w:r>
      <w:r w:rsidR="00D36CC0" w:rsidRPr="00D36CC0">
        <w:rPr>
          <w:rFonts w:ascii="Arial" w:eastAsia="Arial" w:hAnsi="Arial" w:cs="Arial"/>
          <w:b/>
        </w:rPr>
        <w:t xml:space="preserve">of </w:t>
      </w:r>
      <w:r w:rsidR="00824A69" w:rsidRPr="00D36CC0">
        <w:rPr>
          <w:rFonts w:ascii="Arial" w:eastAsia="Arial" w:hAnsi="Arial" w:cs="Arial"/>
          <w:b/>
        </w:rPr>
        <w:t xml:space="preserve">a funding model that could support </w:t>
      </w:r>
      <w:r w:rsidRPr="00D36CC0">
        <w:rPr>
          <w:rFonts w:ascii="Arial" w:eastAsia="Arial" w:hAnsi="Arial" w:cs="Arial"/>
          <w:b/>
        </w:rPr>
        <w:t xml:space="preserve">internship opportunities for graduate students </w:t>
      </w:r>
      <w:r w:rsidR="00824A69" w:rsidRPr="00D36CC0">
        <w:rPr>
          <w:rFonts w:ascii="Arial" w:eastAsia="Arial" w:hAnsi="Arial" w:cs="Arial"/>
          <w:b/>
        </w:rPr>
        <w:t xml:space="preserve">in agencies, organizations and businesses </w:t>
      </w:r>
      <w:r w:rsidRPr="00D36CC0">
        <w:rPr>
          <w:rFonts w:ascii="Arial" w:eastAsia="Arial" w:hAnsi="Arial" w:cs="Arial"/>
          <w:b/>
        </w:rPr>
        <w:t xml:space="preserve">which would fall outside the </w:t>
      </w:r>
      <w:r w:rsidR="007A64DB" w:rsidRPr="00D36CC0">
        <w:rPr>
          <w:rFonts w:ascii="Arial" w:eastAsia="Arial" w:hAnsi="Arial" w:cs="Arial"/>
          <w:b/>
        </w:rPr>
        <w:t>M</w:t>
      </w:r>
      <w:r w:rsidR="007A64DB">
        <w:rPr>
          <w:rFonts w:ascii="Arial" w:eastAsia="Arial" w:hAnsi="Arial" w:cs="Arial"/>
          <w:b/>
        </w:rPr>
        <w:t>ITACS</w:t>
      </w:r>
      <w:r w:rsidR="007A64DB" w:rsidRPr="00D36CC0">
        <w:rPr>
          <w:rFonts w:ascii="Arial" w:eastAsia="Arial" w:hAnsi="Arial" w:cs="Arial"/>
          <w:b/>
        </w:rPr>
        <w:t xml:space="preserve"> </w:t>
      </w:r>
      <w:r w:rsidRPr="00D36CC0">
        <w:rPr>
          <w:rFonts w:ascii="Arial" w:eastAsia="Arial" w:hAnsi="Arial" w:cs="Arial"/>
          <w:b/>
        </w:rPr>
        <w:t xml:space="preserve">ambit.  </w:t>
      </w:r>
    </w:p>
    <w:p w:rsidR="00F85131" w:rsidRPr="00553B70" w:rsidRDefault="00C11FF5" w:rsidP="008A2E87">
      <w:pPr>
        <w:spacing w:before="100" w:after="100"/>
        <w:jc w:val="center"/>
        <w:rPr>
          <w:rFonts w:ascii="Arial" w:hAnsi="Arial" w:cs="Arial"/>
        </w:rPr>
      </w:pPr>
      <w:r w:rsidRPr="00553B70">
        <w:rPr>
          <w:rFonts w:ascii="Arial" w:hAnsi="Arial" w:cs="Arial"/>
          <w:noProof/>
        </w:rPr>
        <w:drawing>
          <wp:inline distT="0" distB="0" distL="0" distR="0" wp14:anchorId="29020241" wp14:editId="4D1D3E92">
            <wp:extent cx="198356" cy="198356"/>
            <wp:effectExtent l="0" t="0" r="0" b="0"/>
            <wp:docPr id="32" name="image3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3.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Pr="00553B70">
        <w:rPr>
          <w:rFonts w:ascii="Arial" w:hAnsi="Arial" w:cs="Arial"/>
          <w:noProof/>
        </w:rPr>
        <w:drawing>
          <wp:inline distT="0" distB="0" distL="0" distR="0" wp14:anchorId="0337E882" wp14:editId="12DF7FD9">
            <wp:extent cx="198356" cy="198356"/>
            <wp:effectExtent l="0" t="0" r="0" b="0"/>
            <wp:docPr id="35" name="image3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6.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r w:rsidR="008A2E87" w:rsidRPr="00553B70">
        <w:rPr>
          <w:rFonts w:ascii="Arial" w:hAnsi="Arial" w:cs="Arial"/>
          <w:noProof/>
        </w:rPr>
        <w:drawing>
          <wp:inline distT="0" distB="0" distL="0" distR="0" wp14:anchorId="43C631DE" wp14:editId="2573DE27">
            <wp:extent cx="198356" cy="198356"/>
            <wp:effectExtent l="0" t="0" r="0" b="0"/>
            <wp:docPr id="58"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8"/>
                    <a:srcRect/>
                    <a:stretch>
                      <a:fillRect/>
                    </a:stretch>
                  </pic:blipFill>
                  <pic:spPr>
                    <a:xfrm>
                      <a:off x="0" y="0"/>
                      <a:ext cx="198356" cy="198356"/>
                    </a:xfrm>
                    <a:prstGeom prst="rect">
                      <a:avLst/>
                    </a:prstGeom>
                    <a:ln/>
                  </pic:spPr>
                </pic:pic>
              </a:graphicData>
            </a:graphic>
          </wp:inline>
        </w:drawing>
      </w:r>
    </w:p>
    <w:p w:rsidR="008A2E87" w:rsidRPr="00553B70" w:rsidRDefault="008A2E87" w:rsidP="008A2E87">
      <w:pPr>
        <w:pStyle w:val="ListParagraph"/>
        <w:spacing w:before="100" w:after="100"/>
        <w:rPr>
          <w:rFonts w:ascii="Arial" w:hAnsi="Arial" w:cs="Arial"/>
        </w:rPr>
      </w:pPr>
    </w:p>
    <w:p w:rsidR="00F85131" w:rsidRPr="00553B70" w:rsidRDefault="00C11FF5">
      <w:pPr>
        <w:spacing w:before="100"/>
        <w:rPr>
          <w:rFonts w:ascii="Arial" w:hAnsi="Arial" w:cs="Arial"/>
        </w:rPr>
      </w:pPr>
      <w:r w:rsidRPr="00D36CC0">
        <w:rPr>
          <w:rFonts w:ascii="Arial" w:eastAsia="Arial" w:hAnsi="Arial" w:cs="Arial"/>
        </w:rPr>
        <w:t>Again we thank you for the opportunity to provide our comments. CAGS would be pleased to meet to elaborate on them at your convenience.</w:t>
      </w:r>
    </w:p>
    <w:p w:rsidR="00F85131" w:rsidRPr="00553B70" w:rsidRDefault="00F85131">
      <w:pPr>
        <w:spacing w:before="100"/>
        <w:rPr>
          <w:rFonts w:ascii="Arial" w:hAnsi="Arial" w:cs="Arial"/>
        </w:rPr>
      </w:pPr>
    </w:p>
    <w:p w:rsidR="00F85131" w:rsidRPr="00553B70" w:rsidRDefault="00F85131">
      <w:pPr>
        <w:spacing w:before="100"/>
        <w:rPr>
          <w:rFonts w:ascii="Arial" w:hAnsi="Arial" w:cs="Arial"/>
        </w:rPr>
      </w:pPr>
    </w:p>
    <w:p w:rsidR="00F85131" w:rsidRPr="00553B70" w:rsidRDefault="00F85131">
      <w:pPr>
        <w:spacing w:before="100"/>
        <w:rPr>
          <w:rFonts w:ascii="Arial" w:hAnsi="Arial" w:cs="Arial"/>
        </w:rPr>
      </w:pPr>
    </w:p>
    <w:p w:rsidR="00F85131" w:rsidRPr="00553B70" w:rsidRDefault="00F85131">
      <w:pPr>
        <w:spacing w:before="100"/>
        <w:rPr>
          <w:rFonts w:ascii="Arial" w:hAnsi="Arial" w:cs="Arial"/>
        </w:rPr>
      </w:pPr>
    </w:p>
    <w:sectPr w:rsidR="00F85131" w:rsidRPr="00553B70">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85CCF341-10B4-4B6A-8D1B-4B30C9863EE0" style="width:262.8pt;height:262.8pt;visibility:visible;mso-wrap-style:square" o:bullet="t">
        <v:imagedata r:id="rId1" o:title="85CCF341-10B4-4B6A-8D1B-4B30C9863EE0"/>
      </v:shape>
    </w:pict>
  </w:numPicBullet>
  <w:abstractNum w:abstractNumId="0">
    <w:nsid w:val="097C0D8A"/>
    <w:multiLevelType w:val="hybridMultilevel"/>
    <w:tmpl w:val="451CC45A"/>
    <w:lvl w:ilvl="0" w:tplc="3B3CF166">
      <w:start w:val="1"/>
      <w:numFmt w:val="bullet"/>
      <w:lvlText w:val=""/>
      <w:lvlPicBulletId w:val="0"/>
      <w:lvlJc w:val="left"/>
      <w:pPr>
        <w:tabs>
          <w:tab w:val="num" w:pos="720"/>
        </w:tabs>
        <w:ind w:left="720" w:hanging="360"/>
      </w:pPr>
      <w:rPr>
        <w:rFonts w:ascii="Symbol" w:hAnsi="Symbol" w:hint="default"/>
      </w:rPr>
    </w:lvl>
    <w:lvl w:ilvl="1" w:tplc="8242A31A" w:tentative="1">
      <w:start w:val="1"/>
      <w:numFmt w:val="bullet"/>
      <w:lvlText w:val=""/>
      <w:lvlJc w:val="left"/>
      <w:pPr>
        <w:tabs>
          <w:tab w:val="num" w:pos="1440"/>
        </w:tabs>
        <w:ind w:left="1440" w:hanging="360"/>
      </w:pPr>
      <w:rPr>
        <w:rFonts w:ascii="Symbol" w:hAnsi="Symbol" w:hint="default"/>
      </w:rPr>
    </w:lvl>
    <w:lvl w:ilvl="2" w:tplc="9C84F73E" w:tentative="1">
      <w:start w:val="1"/>
      <w:numFmt w:val="bullet"/>
      <w:lvlText w:val=""/>
      <w:lvlJc w:val="left"/>
      <w:pPr>
        <w:tabs>
          <w:tab w:val="num" w:pos="2160"/>
        </w:tabs>
        <w:ind w:left="2160" w:hanging="360"/>
      </w:pPr>
      <w:rPr>
        <w:rFonts w:ascii="Symbol" w:hAnsi="Symbol" w:hint="default"/>
      </w:rPr>
    </w:lvl>
    <w:lvl w:ilvl="3" w:tplc="9DA65E9E" w:tentative="1">
      <w:start w:val="1"/>
      <w:numFmt w:val="bullet"/>
      <w:lvlText w:val=""/>
      <w:lvlJc w:val="left"/>
      <w:pPr>
        <w:tabs>
          <w:tab w:val="num" w:pos="2880"/>
        </w:tabs>
        <w:ind w:left="2880" w:hanging="360"/>
      </w:pPr>
      <w:rPr>
        <w:rFonts w:ascii="Symbol" w:hAnsi="Symbol" w:hint="default"/>
      </w:rPr>
    </w:lvl>
    <w:lvl w:ilvl="4" w:tplc="566A9828" w:tentative="1">
      <w:start w:val="1"/>
      <w:numFmt w:val="bullet"/>
      <w:lvlText w:val=""/>
      <w:lvlJc w:val="left"/>
      <w:pPr>
        <w:tabs>
          <w:tab w:val="num" w:pos="3600"/>
        </w:tabs>
        <w:ind w:left="3600" w:hanging="360"/>
      </w:pPr>
      <w:rPr>
        <w:rFonts w:ascii="Symbol" w:hAnsi="Symbol" w:hint="default"/>
      </w:rPr>
    </w:lvl>
    <w:lvl w:ilvl="5" w:tplc="D362D5A2" w:tentative="1">
      <w:start w:val="1"/>
      <w:numFmt w:val="bullet"/>
      <w:lvlText w:val=""/>
      <w:lvlJc w:val="left"/>
      <w:pPr>
        <w:tabs>
          <w:tab w:val="num" w:pos="4320"/>
        </w:tabs>
        <w:ind w:left="4320" w:hanging="360"/>
      </w:pPr>
      <w:rPr>
        <w:rFonts w:ascii="Symbol" w:hAnsi="Symbol" w:hint="default"/>
      </w:rPr>
    </w:lvl>
    <w:lvl w:ilvl="6" w:tplc="2F06856A" w:tentative="1">
      <w:start w:val="1"/>
      <w:numFmt w:val="bullet"/>
      <w:lvlText w:val=""/>
      <w:lvlJc w:val="left"/>
      <w:pPr>
        <w:tabs>
          <w:tab w:val="num" w:pos="5040"/>
        </w:tabs>
        <w:ind w:left="5040" w:hanging="360"/>
      </w:pPr>
      <w:rPr>
        <w:rFonts w:ascii="Symbol" w:hAnsi="Symbol" w:hint="default"/>
      </w:rPr>
    </w:lvl>
    <w:lvl w:ilvl="7" w:tplc="C1A0C2F0" w:tentative="1">
      <w:start w:val="1"/>
      <w:numFmt w:val="bullet"/>
      <w:lvlText w:val=""/>
      <w:lvlJc w:val="left"/>
      <w:pPr>
        <w:tabs>
          <w:tab w:val="num" w:pos="5760"/>
        </w:tabs>
        <w:ind w:left="5760" w:hanging="360"/>
      </w:pPr>
      <w:rPr>
        <w:rFonts w:ascii="Symbol" w:hAnsi="Symbol" w:hint="default"/>
      </w:rPr>
    </w:lvl>
    <w:lvl w:ilvl="8" w:tplc="1C6803EA" w:tentative="1">
      <w:start w:val="1"/>
      <w:numFmt w:val="bullet"/>
      <w:lvlText w:val=""/>
      <w:lvlJc w:val="left"/>
      <w:pPr>
        <w:tabs>
          <w:tab w:val="num" w:pos="6480"/>
        </w:tabs>
        <w:ind w:left="6480" w:hanging="360"/>
      </w:pPr>
      <w:rPr>
        <w:rFonts w:ascii="Symbol" w:hAnsi="Symbol" w:hint="default"/>
      </w:rPr>
    </w:lvl>
  </w:abstractNum>
  <w:abstractNum w:abstractNumId="1">
    <w:nsid w:val="22F36AEA"/>
    <w:multiLevelType w:val="multilevel"/>
    <w:tmpl w:val="C762A584"/>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918262B"/>
    <w:multiLevelType w:val="hybridMultilevel"/>
    <w:tmpl w:val="E2B4D3D8"/>
    <w:lvl w:ilvl="0" w:tplc="7E723E3C">
      <w:start w:val="1"/>
      <w:numFmt w:val="bullet"/>
      <w:lvlText w:val=""/>
      <w:lvlPicBulletId w:val="0"/>
      <w:lvlJc w:val="left"/>
      <w:pPr>
        <w:tabs>
          <w:tab w:val="num" w:pos="720"/>
        </w:tabs>
        <w:ind w:left="720" w:hanging="360"/>
      </w:pPr>
      <w:rPr>
        <w:rFonts w:ascii="Symbol" w:hAnsi="Symbol" w:hint="default"/>
      </w:rPr>
    </w:lvl>
    <w:lvl w:ilvl="1" w:tplc="0D48F3EE" w:tentative="1">
      <w:start w:val="1"/>
      <w:numFmt w:val="bullet"/>
      <w:lvlText w:val=""/>
      <w:lvlJc w:val="left"/>
      <w:pPr>
        <w:tabs>
          <w:tab w:val="num" w:pos="1440"/>
        </w:tabs>
        <w:ind w:left="1440" w:hanging="360"/>
      </w:pPr>
      <w:rPr>
        <w:rFonts w:ascii="Symbol" w:hAnsi="Symbol" w:hint="default"/>
      </w:rPr>
    </w:lvl>
    <w:lvl w:ilvl="2" w:tplc="9A3ECD64" w:tentative="1">
      <w:start w:val="1"/>
      <w:numFmt w:val="bullet"/>
      <w:lvlText w:val=""/>
      <w:lvlJc w:val="left"/>
      <w:pPr>
        <w:tabs>
          <w:tab w:val="num" w:pos="2160"/>
        </w:tabs>
        <w:ind w:left="2160" w:hanging="360"/>
      </w:pPr>
      <w:rPr>
        <w:rFonts w:ascii="Symbol" w:hAnsi="Symbol" w:hint="default"/>
      </w:rPr>
    </w:lvl>
    <w:lvl w:ilvl="3" w:tplc="066A8FAE" w:tentative="1">
      <w:start w:val="1"/>
      <w:numFmt w:val="bullet"/>
      <w:lvlText w:val=""/>
      <w:lvlJc w:val="left"/>
      <w:pPr>
        <w:tabs>
          <w:tab w:val="num" w:pos="2880"/>
        </w:tabs>
        <w:ind w:left="2880" w:hanging="360"/>
      </w:pPr>
      <w:rPr>
        <w:rFonts w:ascii="Symbol" w:hAnsi="Symbol" w:hint="default"/>
      </w:rPr>
    </w:lvl>
    <w:lvl w:ilvl="4" w:tplc="6E60DBE0" w:tentative="1">
      <w:start w:val="1"/>
      <w:numFmt w:val="bullet"/>
      <w:lvlText w:val=""/>
      <w:lvlJc w:val="left"/>
      <w:pPr>
        <w:tabs>
          <w:tab w:val="num" w:pos="3600"/>
        </w:tabs>
        <w:ind w:left="3600" w:hanging="360"/>
      </w:pPr>
      <w:rPr>
        <w:rFonts w:ascii="Symbol" w:hAnsi="Symbol" w:hint="default"/>
      </w:rPr>
    </w:lvl>
    <w:lvl w:ilvl="5" w:tplc="B038C3C2" w:tentative="1">
      <w:start w:val="1"/>
      <w:numFmt w:val="bullet"/>
      <w:lvlText w:val=""/>
      <w:lvlJc w:val="left"/>
      <w:pPr>
        <w:tabs>
          <w:tab w:val="num" w:pos="4320"/>
        </w:tabs>
        <w:ind w:left="4320" w:hanging="360"/>
      </w:pPr>
      <w:rPr>
        <w:rFonts w:ascii="Symbol" w:hAnsi="Symbol" w:hint="default"/>
      </w:rPr>
    </w:lvl>
    <w:lvl w:ilvl="6" w:tplc="7154095A" w:tentative="1">
      <w:start w:val="1"/>
      <w:numFmt w:val="bullet"/>
      <w:lvlText w:val=""/>
      <w:lvlJc w:val="left"/>
      <w:pPr>
        <w:tabs>
          <w:tab w:val="num" w:pos="5040"/>
        </w:tabs>
        <w:ind w:left="5040" w:hanging="360"/>
      </w:pPr>
      <w:rPr>
        <w:rFonts w:ascii="Symbol" w:hAnsi="Symbol" w:hint="default"/>
      </w:rPr>
    </w:lvl>
    <w:lvl w:ilvl="7" w:tplc="FF642AA0" w:tentative="1">
      <w:start w:val="1"/>
      <w:numFmt w:val="bullet"/>
      <w:lvlText w:val=""/>
      <w:lvlJc w:val="left"/>
      <w:pPr>
        <w:tabs>
          <w:tab w:val="num" w:pos="5760"/>
        </w:tabs>
        <w:ind w:left="5760" w:hanging="360"/>
      </w:pPr>
      <w:rPr>
        <w:rFonts w:ascii="Symbol" w:hAnsi="Symbol" w:hint="default"/>
      </w:rPr>
    </w:lvl>
    <w:lvl w:ilvl="8" w:tplc="CABE55A0" w:tentative="1">
      <w:start w:val="1"/>
      <w:numFmt w:val="bullet"/>
      <w:lvlText w:val=""/>
      <w:lvlJc w:val="left"/>
      <w:pPr>
        <w:tabs>
          <w:tab w:val="num" w:pos="6480"/>
        </w:tabs>
        <w:ind w:left="6480" w:hanging="360"/>
      </w:pPr>
      <w:rPr>
        <w:rFonts w:ascii="Symbol" w:hAnsi="Symbol" w:hint="default"/>
      </w:rPr>
    </w:lvl>
  </w:abstractNum>
  <w:abstractNum w:abstractNumId="3">
    <w:nsid w:val="33AA4038"/>
    <w:multiLevelType w:val="hybridMultilevel"/>
    <w:tmpl w:val="D9B46964"/>
    <w:lvl w:ilvl="0" w:tplc="BBF67EE8">
      <w:start w:val="1"/>
      <w:numFmt w:val="bullet"/>
      <w:lvlText w:val=""/>
      <w:lvlPicBulletId w:val="0"/>
      <w:lvlJc w:val="left"/>
      <w:pPr>
        <w:tabs>
          <w:tab w:val="num" w:pos="720"/>
        </w:tabs>
        <w:ind w:left="720" w:hanging="360"/>
      </w:pPr>
      <w:rPr>
        <w:rFonts w:ascii="Symbol" w:hAnsi="Symbol" w:hint="default"/>
      </w:rPr>
    </w:lvl>
    <w:lvl w:ilvl="1" w:tplc="F686119C" w:tentative="1">
      <w:start w:val="1"/>
      <w:numFmt w:val="bullet"/>
      <w:lvlText w:val=""/>
      <w:lvlJc w:val="left"/>
      <w:pPr>
        <w:tabs>
          <w:tab w:val="num" w:pos="1440"/>
        </w:tabs>
        <w:ind w:left="1440" w:hanging="360"/>
      </w:pPr>
      <w:rPr>
        <w:rFonts w:ascii="Symbol" w:hAnsi="Symbol" w:hint="default"/>
      </w:rPr>
    </w:lvl>
    <w:lvl w:ilvl="2" w:tplc="05887070" w:tentative="1">
      <w:start w:val="1"/>
      <w:numFmt w:val="bullet"/>
      <w:lvlText w:val=""/>
      <w:lvlJc w:val="left"/>
      <w:pPr>
        <w:tabs>
          <w:tab w:val="num" w:pos="2160"/>
        </w:tabs>
        <w:ind w:left="2160" w:hanging="360"/>
      </w:pPr>
      <w:rPr>
        <w:rFonts w:ascii="Symbol" w:hAnsi="Symbol" w:hint="default"/>
      </w:rPr>
    </w:lvl>
    <w:lvl w:ilvl="3" w:tplc="0D4A3DBC" w:tentative="1">
      <w:start w:val="1"/>
      <w:numFmt w:val="bullet"/>
      <w:lvlText w:val=""/>
      <w:lvlJc w:val="left"/>
      <w:pPr>
        <w:tabs>
          <w:tab w:val="num" w:pos="2880"/>
        </w:tabs>
        <w:ind w:left="2880" w:hanging="360"/>
      </w:pPr>
      <w:rPr>
        <w:rFonts w:ascii="Symbol" w:hAnsi="Symbol" w:hint="default"/>
      </w:rPr>
    </w:lvl>
    <w:lvl w:ilvl="4" w:tplc="DCA67BCE" w:tentative="1">
      <w:start w:val="1"/>
      <w:numFmt w:val="bullet"/>
      <w:lvlText w:val=""/>
      <w:lvlJc w:val="left"/>
      <w:pPr>
        <w:tabs>
          <w:tab w:val="num" w:pos="3600"/>
        </w:tabs>
        <w:ind w:left="3600" w:hanging="360"/>
      </w:pPr>
      <w:rPr>
        <w:rFonts w:ascii="Symbol" w:hAnsi="Symbol" w:hint="default"/>
      </w:rPr>
    </w:lvl>
    <w:lvl w:ilvl="5" w:tplc="F63AB784" w:tentative="1">
      <w:start w:val="1"/>
      <w:numFmt w:val="bullet"/>
      <w:lvlText w:val=""/>
      <w:lvlJc w:val="left"/>
      <w:pPr>
        <w:tabs>
          <w:tab w:val="num" w:pos="4320"/>
        </w:tabs>
        <w:ind w:left="4320" w:hanging="360"/>
      </w:pPr>
      <w:rPr>
        <w:rFonts w:ascii="Symbol" w:hAnsi="Symbol" w:hint="default"/>
      </w:rPr>
    </w:lvl>
    <w:lvl w:ilvl="6" w:tplc="F0A0DD50" w:tentative="1">
      <w:start w:val="1"/>
      <w:numFmt w:val="bullet"/>
      <w:lvlText w:val=""/>
      <w:lvlJc w:val="left"/>
      <w:pPr>
        <w:tabs>
          <w:tab w:val="num" w:pos="5040"/>
        </w:tabs>
        <w:ind w:left="5040" w:hanging="360"/>
      </w:pPr>
      <w:rPr>
        <w:rFonts w:ascii="Symbol" w:hAnsi="Symbol" w:hint="default"/>
      </w:rPr>
    </w:lvl>
    <w:lvl w:ilvl="7" w:tplc="C452103A" w:tentative="1">
      <w:start w:val="1"/>
      <w:numFmt w:val="bullet"/>
      <w:lvlText w:val=""/>
      <w:lvlJc w:val="left"/>
      <w:pPr>
        <w:tabs>
          <w:tab w:val="num" w:pos="5760"/>
        </w:tabs>
        <w:ind w:left="5760" w:hanging="360"/>
      </w:pPr>
      <w:rPr>
        <w:rFonts w:ascii="Symbol" w:hAnsi="Symbol" w:hint="default"/>
      </w:rPr>
    </w:lvl>
    <w:lvl w:ilvl="8" w:tplc="DD02167A" w:tentative="1">
      <w:start w:val="1"/>
      <w:numFmt w:val="bullet"/>
      <w:lvlText w:val=""/>
      <w:lvlJc w:val="left"/>
      <w:pPr>
        <w:tabs>
          <w:tab w:val="num" w:pos="6480"/>
        </w:tabs>
        <w:ind w:left="6480" w:hanging="360"/>
      </w:pPr>
      <w:rPr>
        <w:rFonts w:ascii="Symbol" w:hAnsi="Symbol" w:hint="default"/>
      </w:rPr>
    </w:lvl>
  </w:abstractNum>
  <w:abstractNum w:abstractNumId="4">
    <w:nsid w:val="44AB1442"/>
    <w:multiLevelType w:val="hybridMultilevel"/>
    <w:tmpl w:val="98B4E1C0"/>
    <w:lvl w:ilvl="0" w:tplc="2EBE93EE">
      <w:start w:val="1"/>
      <w:numFmt w:val="bullet"/>
      <w:lvlText w:val=""/>
      <w:lvlPicBulletId w:val="0"/>
      <w:lvlJc w:val="left"/>
      <w:pPr>
        <w:tabs>
          <w:tab w:val="num" w:pos="720"/>
        </w:tabs>
        <w:ind w:left="720" w:hanging="360"/>
      </w:pPr>
      <w:rPr>
        <w:rFonts w:ascii="Symbol" w:hAnsi="Symbol" w:hint="default"/>
      </w:rPr>
    </w:lvl>
    <w:lvl w:ilvl="1" w:tplc="7AA0AA98" w:tentative="1">
      <w:start w:val="1"/>
      <w:numFmt w:val="bullet"/>
      <w:lvlText w:val=""/>
      <w:lvlJc w:val="left"/>
      <w:pPr>
        <w:tabs>
          <w:tab w:val="num" w:pos="1440"/>
        </w:tabs>
        <w:ind w:left="1440" w:hanging="360"/>
      </w:pPr>
      <w:rPr>
        <w:rFonts w:ascii="Symbol" w:hAnsi="Symbol" w:hint="default"/>
      </w:rPr>
    </w:lvl>
    <w:lvl w:ilvl="2" w:tplc="F6E2DD38" w:tentative="1">
      <w:start w:val="1"/>
      <w:numFmt w:val="bullet"/>
      <w:lvlText w:val=""/>
      <w:lvlJc w:val="left"/>
      <w:pPr>
        <w:tabs>
          <w:tab w:val="num" w:pos="2160"/>
        </w:tabs>
        <w:ind w:left="2160" w:hanging="360"/>
      </w:pPr>
      <w:rPr>
        <w:rFonts w:ascii="Symbol" w:hAnsi="Symbol" w:hint="default"/>
      </w:rPr>
    </w:lvl>
    <w:lvl w:ilvl="3" w:tplc="6DAA87C2" w:tentative="1">
      <w:start w:val="1"/>
      <w:numFmt w:val="bullet"/>
      <w:lvlText w:val=""/>
      <w:lvlJc w:val="left"/>
      <w:pPr>
        <w:tabs>
          <w:tab w:val="num" w:pos="2880"/>
        </w:tabs>
        <w:ind w:left="2880" w:hanging="360"/>
      </w:pPr>
      <w:rPr>
        <w:rFonts w:ascii="Symbol" w:hAnsi="Symbol" w:hint="default"/>
      </w:rPr>
    </w:lvl>
    <w:lvl w:ilvl="4" w:tplc="BE22B29E" w:tentative="1">
      <w:start w:val="1"/>
      <w:numFmt w:val="bullet"/>
      <w:lvlText w:val=""/>
      <w:lvlJc w:val="left"/>
      <w:pPr>
        <w:tabs>
          <w:tab w:val="num" w:pos="3600"/>
        </w:tabs>
        <w:ind w:left="3600" w:hanging="360"/>
      </w:pPr>
      <w:rPr>
        <w:rFonts w:ascii="Symbol" w:hAnsi="Symbol" w:hint="default"/>
      </w:rPr>
    </w:lvl>
    <w:lvl w:ilvl="5" w:tplc="EEE0C3C8" w:tentative="1">
      <w:start w:val="1"/>
      <w:numFmt w:val="bullet"/>
      <w:lvlText w:val=""/>
      <w:lvlJc w:val="left"/>
      <w:pPr>
        <w:tabs>
          <w:tab w:val="num" w:pos="4320"/>
        </w:tabs>
        <w:ind w:left="4320" w:hanging="360"/>
      </w:pPr>
      <w:rPr>
        <w:rFonts w:ascii="Symbol" w:hAnsi="Symbol" w:hint="default"/>
      </w:rPr>
    </w:lvl>
    <w:lvl w:ilvl="6" w:tplc="5ED2FC98" w:tentative="1">
      <w:start w:val="1"/>
      <w:numFmt w:val="bullet"/>
      <w:lvlText w:val=""/>
      <w:lvlJc w:val="left"/>
      <w:pPr>
        <w:tabs>
          <w:tab w:val="num" w:pos="5040"/>
        </w:tabs>
        <w:ind w:left="5040" w:hanging="360"/>
      </w:pPr>
      <w:rPr>
        <w:rFonts w:ascii="Symbol" w:hAnsi="Symbol" w:hint="default"/>
      </w:rPr>
    </w:lvl>
    <w:lvl w:ilvl="7" w:tplc="F1C84EBE" w:tentative="1">
      <w:start w:val="1"/>
      <w:numFmt w:val="bullet"/>
      <w:lvlText w:val=""/>
      <w:lvlJc w:val="left"/>
      <w:pPr>
        <w:tabs>
          <w:tab w:val="num" w:pos="5760"/>
        </w:tabs>
        <w:ind w:left="5760" w:hanging="360"/>
      </w:pPr>
      <w:rPr>
        <w:rFonts w:ascii="Symbol" w:hAnsi="Symbol" w:hint="default"/>
      </w:rPr>
    </w:lvl>
    <w:lvl w:ilvl="8" w:tplc="4072BD98" w:tentative="1">
      <w:start w:val="1"/>
      <w:numFmt w:val="bullet"/>
      <w:lvlText w:val=""/>
      <w:lvlJc w:val="left"/>
      <w:pPr>
        <w:tabs>
          <w:tab w:val="num" w:pos="6480"/>
        </w:tabs>
        <w:ind w:left="6480" w:hanging="360"/>
      </w:pPr>
      <w:rPr>
        <w:rFonts w:ascii="Symbol" w:hAnsi="Symbol" w:hint="default"/>
      </w:rPr>
    </w:lvl>
  </w:abstractNum>
  <w:abstractNum w:abstractNumId="5">
    <w:nsid w:val="4BCB6F75"/>
    <w:multiLevelType w:val="hybridMultilevel"/>
    <w:tmpl w:val="73B670DA"/>
    <w:lvl w:ilvl="0" w:tplc="CDBE854A">
      <w:start w:val="1"/>
      <w:numFmt w:val="bullet"/>
      <w:lvlText w:val=""/>
      <w:lvlPicBulletId w:val="0"/>
      <w:lvlJc w:val="left"/>
      <w:pPr>
        <w:tabs>
          <w:tab w:val="num" w:pos="720"/>
        </w:tabs>
        <w:ind w:left="720" w:hanging="360"/>
      </w:pPr>
      <w:rPr>
        <w:rFonts w:ascii="Symbol" w:hAnsi="Symbol" w:hint="default"/>
      </w:rPr>
    </w:lvl>
    <w:lvl w:ilvl="1" w:tplc="CD42F734" w:tentative="1">
      <w:start w:val="1"/>
      <w:numFmt w:val="bullet"/>
      <w:lvlText w:val=""/>
      <w:lvlJc w:val="left"/>
      <w:pPr>
        <w:tabs>
          <w:tab w:val="num" w:pos="1440"/>
        </w:tabs>
        <w:ind w:left="1440" w:hanging="360"/>
      </w:pPr>
      <w:rPr>
        <w:rFonts w:ascii="Symbol" w:hAnsi="Symbol" w:hint="default"/>
      </w:rPr>
    </w:lvl>
    <w:lvl w:ilvl="2" w:tplc="1AF44200" w:tentative="1">
      <w:start w:val="1"/>
      <w:numFmt w:val="bullet"/>
      <w:lvlText w:val=""/>
      <w:lvlJc w:val="left"/>
      <w:pPr>
        <w:tabs>
          <w:tab w:val="num" w:pos="2160"/>
        </w:tabs>
        <w:ind w:left="2160" w:hanging="360"/>
      </w:pPr>
      <w:rPr>
        <w:rFonts w:ascii="Symbol" w:hAnsi="Symbol" w:hint="default"/>
      </w:rPr>
    </w:lvl>
    <w:lvl w:ilvl="3" w:tplc="5AD63AD2" w:tentative="1">
      <w:start w:val="1"/>
      <w:numFmt w:val="bullet"/>
      <w:lvlText w:val=""/>
      <w:lvlJc w:val="left"/>
      <w:pPr>
        <w:tabs>
          <w:tab w:val="num" w:pos="2880"/>
        </w:tabs>
        <w:ind w:left="2880" w:hanging="360"/>
      </w:pPr>
      <w:rPr>
        <w:rFonts w:ascii="Symbol" w:hAnsi="Symbol" w:hint="default"/>
      </w:rPr>
    </w:lvl>
    <w:lvl w:ilvl="4" w:tplc="1360C47A" w:tentative="1">
      <w:start w:val="1"/>
      <w:numFmt w:val="bullet"/>
      <w:lvlText w:val=""/>
      <w:lvlJc w:val="left"/>
      <w:pPr>
        <w:tabs>
          <w:tab w:val="num" w:pos="3600"/>
        </w:tabs>
        <w:ind w:left="3600" w:hanging="360"/>
      </w:pPr>
      <w:rPr>
        <w:rFonts w:ascii="Symbol" w:hAnsi="Symbol" w:hint="default"/>
      </w:rPr>
    </w:lvl>
    <w:lvl w:ilvl="5" w:tplc="1FB6EF58" w:tentative="1">
      <w:start w:val="1"/>
      <w:numFmt w:val="bullet"/>
      <w:lvlText w:val=""/>
      <w:lvlJc w:val="left"/>
      <w:pPr>
        <w:tabs>
          <w:tab w:val="num" w:pos="4320"/>
        </w:tabs>
        <w:ind w:left="4320" w:hanging="360"/>
      </w:pPr>
      <w:rPr>
        <w:rFonts w:ascii="Symbol" w:hAnsi="Symbol" w:hint="default"/>
      </w:rPr>
    </w:lvl>
    <w:lvl w:ilvl="6" w:tplc="95A442D8" w:tentative="1">
      <w:start w:val="1"/>
      <w:numFmt w:val="bullet"/>
      <w:lvlText w:val=""/>
      <w:lvlJc w:val="left"/>
      <w:pPr>
        <w:tabs>
          <w:tab w:val="num" w:pos="5040"/>
        </w:tabs>
        <w:ind w:left="5040" w:hanging="360"/>
      </w:pPr>
      <w:rPr>
        <w:rFonts w:ascii="Symbol" w:hAnsi="Symbol" w:hint="default"/>
      </w:rPr>
    </w:lvl>
    <w:lvl w:ilvl="7" w:tplc="C332DD7C" w:tentative="1">
      <w:start w:val="1"/>
      <w:numFmt w:val="bullet"/>
      <w:lvlText w:val=""/>
      <w:lvlJc w:val="left"/>
      <w:pPr>
        <w:tabs>
          <w:tab w:val="num" w:pos="5760"/>
        </w:tabs>
        <w:ind w:left="5760" w:hanging="360"/>
      </w:pPr>
      <w:rPr>
        <w:rFonts w:ascii="Symbol" w:hAnsi="Symbol" w:hint="default"/>
      </w:rPr>
    </w:lvl>
    <w:lvl w:ilvl="8" w:tplc="8DA68950" w:tentative="1">
      <w:start w:val="1"/>
      <w:numFmt w:val="bullet"/>
      <w:lvlText w:val=""/>
      <w:lvlJc w:val="left"/>
      <w:pPr>
        <w:tabs>
          <w:tab w:val="num" w:pos="6480"/>
        </w:tabs>
        <w:ind w:left="6480" w:hanging="360"/>
      </w:pPr>
      <w:rPr>
        <w:rFonts w:ascii="Symbol" w:hAnsi="Symbol" w:hint="default"/>
      </w:rPr>
    </w:lvl>
  </w:abstractNum>
  <w:abstractNum w:abstractNumId="6">
    <w:nsid w:val="4DDD4CBC"/>
    <w:multiLevelType w:val="hybridMultilevel"/>
    <w:tmpl w:val="354E4228"/>
    <w:lvl w:ilvl="0" w:tplc="549C6F82">
      <w:start w:val="1"/>
      <w:numFmt w:val="bullet"/>
      <w:lvlText w:val=""/>
      <w:lvlPicBulletId w:val="0"/>
      <w:lvlJc w:val="left"/>
      <w:pPr>
        <w:tabs>
          <w:tab w:val="num" w:pos="720"/>
        </w:tabs>
        <w:ind w:left="720" w:hanging="360"/>
      </w:pPr>
      <w:rPr>
        <w:rFonts w:ascii="Symbol" w:hAnsi="Symbol" w:hint="default"/>
      </w:rPr>
    </w:lvl>
    <w:lvl w:ilvl="1" w:tplc="2C1A437E" w:tentative="1">
      <w:start w:val="1"/>
      <w:numFmt w:val="bullet"/>
      <w:lvlText w:val=""/>
      <w:lvlJc w:val="left"/>
      <w:pPr>
        <w:tabs>
          <w:tab w:val="num" w:pos="1440"/>
        </w:tabs>
        <w:ind w:left="1440" w:hanging="360"/>
      </w:pPr>
      <w:rPr>
        <w:rFonts w:ascii="Symbol" w:hAnsi="Symbol" w:hint="default"/>
      </w:rPr>
    </w:lvl>
    <w:lvl w:ilvl="2" w:tplc="CB786814" w:tentative="1">
      <w:start w:val="1"/>
      <w:numFmt w:val="bullet"/>
      <w:lvlText w:val=""/>
      <w:lvlJc w:val="left"/>
      <w:pPr>
        <w:tabs>
          <w:tab w:val="num" w:pos="2160"/>
        </w:tabs>
        <w:ind w:left="2160" w:hanging="360"/>
      </w:pPr>
      <w:rPr>
        <w:rFonts w:ascii="Symbol" w:hAnsi="Symbol" w:hint="default"/>
      </w:rPr>
    </w:lvl>
    <w:lvl w:ilvl="3" w:tplc="3B2EC640" w:tentative="1">
      <w:start w:val="1"/>
      <w:numFmt w:val="bullet"/>
      <w:lvlText w:val=""/>
      <w:lvlJc w:val="left"/>
      <w:pPr>
        <w:tabs>
          <w:tab w:val="num" w:pos="2880"/>
        </w:tabs>
        <w:ind w:left="2880" w:hanging="360"/>
      </w:pPr>
      <w:rPr>
        <w:rFonts w:ascii="Symbol" w:hAnsi="Symbol" w:hint="default"/>
      </w:rPr>
    </w:lvl>
    <w:lvl w:ilvl="4" w:tplc="1F56746C" w:tentative="1">
      <w:start w:val="1"/>
      <w:numFmt w:val="bullet"/>
      <w:lvlText w:val=""/>
      <w:lvlJc w:val="left"/>
      <w:pPr>
        <w:tabs>
          <w:tab w:val="num" w:pos="3600"/>
        </w:tabs>
        <w:ind w:left="3600" w:hanging="360"/>
      </w:pPr>
      <w:rPr>
        <w:rFonts w:ascii="Symbol" w:hAnsi="Symbol" w:hint="default"/>
      </w:rPr>
    </w:lvl>
    <w:lvl w:ilvl="5" w:tplc="BBD2E700" w:tentative="1">
      <w:start w:val="1"/>
      <w:numFmt w:val="bullet"/>
      <w:lvlText w:val=""/>
      <w:lvlJc w:val="left"/>
      <w:pPr>
        <w:tabs>
          <w:tab w:val="num" w:pos="4320"/>
        </w:tabs>
        <w:ind w:left="4320" w:hanging="360"/>
      </w:pPr>
      <w:rPr>
        <w:rFonts w:ascii="Symbol" w:hAnsi="Symbol" w:hint="default"/>
      </w:rPr>
    </w:lvl>
    <w:lvl w:ilvl="6" w:tplc="7D2C8104" w:tentative="1">
      <w:start w:val="1"/>
      <w:numFmt w:val="bullet"/>
      <w:lvlText w:val=""/>
      <w:lvlJc w:val="left"/>
      <w:pPr>
        <w:tabs>
          <w:tab w:val="num" w:pos="5040"/>
        </w:tabs>
        <w:ind w:left="5040" w:hanging="360"/>
      </w:pPr>
      <w:rPr>
        <w:rFonts w:ascii="Symbol" w:hAnsi="Symbol" w:hint="default"/>
      </w:rPr>
    </w:lvl>
    <w:lvl w:ilvl="7" w:tplc="1D522DE6" w:tentative="1">
      <w:start w:val="1"/>
      <w:numFmt w:val="bullet"/>
      <w:lvlText w:val=""/>
      <w:lvlJc w:val="left"/>
      <w:pPr>
        <w:tabs>
          <w:tab w:val="num" w:pos="5760"/>
        </w:tabs>
        <w:ind w:left="5760" w:hanging="360"/>
      </w:pPr>
      <w:rPr>
        <w:rFonts w:ascii="Symbol" w:hAnsi="Symbol" w:hint="default"/>
      </w:rPr>
    </w:lvl>
    <w:lvl w:ilvl="8" w:tplc="4AD8D974" w:tentative="1">
      <w:start w:val="1"/>
      <w:numFmt w:val="bullet"/>
      <w:lvlText w:val=""/>
      <w:lvlJc w:val="left"/>
      <w:pPr>
        <w:tabs>
          <w:tab w:val="num" w:pos="6480"/>
        </w:tabs>
        <w:ind w:left="6480" w:hanging="360"/>
      </w:pPr>
      <w:rPr>
        <w:rFonts w:ascii="Symbol" w:hAnsi="Symbol" w:hint="default"/>
      </w:rPr>
    </w:lvl>
  </w:abstractNum>
  <w:abstractNum w:abstractNumId="7">
    <w:nsid w:val="52875975"/>
    <w:multiLevelType w:val="hybridMultilevel"/>
    <w:tmpl w:val="315866FA"/>
    <w:lvl w:ilvl="0" w:tplc="EF983CE0">
      <w:start w:val="1"/>
      <w:numFmt w:val="bullet"/>
      <w:lvlText w:val=""/>
      <w:lvlPicBulletId w:val="0"/>
      <w:lvlJc w:val="left"/>
      <w:pPr>
        <w:tabs>
          <w:tab w:val="num" w:pos="720"/>
        </w:tabs>
        <w:ind w:left="720" w:hanging="360"/>
      </w:pPr>
      <w:rPr>
        <w:rFonts w:ascii="Symbol" w:hAnsi="Symbol" w:hint="default"/>
      </w:rPr>
    </w:lvl>
    <w:lvl w:ilvl="1" w:tplc="C4381FE4" w:tentative="1">
      <w:start w:val="1"/>
      <w:numFmt w:val="bullet"/>
      <w:lvlText w:val=""/>
      <w:lvlJc w:val="left"/>
      <w:pPr>
        <w:tabs>
          <w:tab w:val="num" w:pos="1440"/>
        </w:tabs>
        <w:ind w:left="1440" w:hanging="360"/>
      </w:pPr>
      <w:rPr>
        <w:rFonts w:ascii="Symbol" w:hAnsi="Symbol" w:hint="default"/>
      </w:rPr>
    </w:lvl>
    <w:lvl w:ilvl="2" w:tplc="F42859A8" w:tentative="1">
      <w:start w:val="1"/>
      <w:numFmt w:val="bullet"/>
      <w:lvlText w:val=""/>
      <w:lvlJc w:val="left"/>
      <w:pPr>
        <w:tabs>
          <w:tab w:val="num" w:pos="2160"/>
        </w:tabs>
        <w:ind w:left="2160" w:hanging="360"/>
      </w:pPr>
      <w:rPr>
        <w:rFonts w:ascii="Symbol" w:hAnsi="Symbol" w:hint="default"/>
      </w:rPr>
    </w:lvl>
    <w:lvl w:ilvl="3" w:tplc="0220CFC4" w:tentative="1">
      <w:start w:val="1"/>
      <w:numFmt w:val="bullet"/>
      <w:lvlText w:val=""/>
      <w:lvlJc w:val="left"/>
      <w:pPr>
        <w:tabs>
          <w:tab w:val="num" w:pos="2880"/>
        </w:tabs>
        <w:ind w:left="2880" w:hanging="360"/>
      </w:pPr>
      <w:rPr>
        <w:rFonts w:ascii="Symbol" w:hAnsi="Symbol" w:hint="default"/>
      </w:rPr>
    </w:lvl>
    <w:lvl w:ilvl="4" w:tplc="28FE1240" w:tentative="1">
      <w:start w:val="1"/>
      <w:numFmt w:val="bullet"/>
      <w:lvlText w:val=""/>
      <w:lvlJc w:val="left"/>
      <w:pPr>
        <w:tabs>
          <w:tab w:val="num" w:pos="3600"/>
        </w:tabs>
        <w:ind w:left="3600" w:hanging="360"/>
      </w:pPr>
      <w:rPr>
        <w:rFonts w:ascii="Symbol" w:hAnsi="Symbol" w:hint="default"/>
      </w:rPr>
    </w:lvl>
    <w:lvl w:ilvl="5" w:tplc="A134B7D8" w:tentative="1">
      <w:start w:val="1"/>
      <w:numFmt w:val="bullet"/>
      <w:lvlText w:val=""/>
      <w:lvlJc w:val="left"/>
      <w:pPr>
        <w:tabs>
          <w:tab w:val="num" w:pos="4320"/>
        </w:tabs>
        <w:ind w:left="4320" w:hanging="360"/>
      </w:pPr>
      <w:rPr>
        <w:rFonts w:ascii="Symbol" w:hAnsi="Symbol" w:hint="default"/>
      </w:rPr>
    </w:lvl>
    <w:lvl w:ilvl="6" w:tplc="7756B6C8" w:tentative="1">
      <w:start w:val="1"/>
      <w:numFmt w:val="bullet"/>
      <w:lvlText w:val=""/>
      <w:lvlJc w:val="left"/>
      <w:pPr>
        <w:tabs>
          <w:tab w:val="num" w:pos="5040"/>
        </w:tabs>
        <w:ind w:left="5040" w:hanging="360"/>
      </w:pPr>
      <w:rPr>
        <w:rFonts w:ascii="Symbol" w:hAnsi="Symbol" w:hint="default"/>
      </w:rPr>
    </w:lvl>
    <w:lvl w:ilvl="7" w:tplc="B498D350" w:tentative="1">
      <w:start w:val="1"/>
      <w:numFmt w:val="bullet"/>
      <w:lvlText w:val=""/>
      <w:lvlJc w:val="left"/>
      <w:pPr>
        <w:tabs>
          <w:tab w:val="num" w:pos="5760"/>
        </w:tabs>
        <w:ind w:left="5760" w:hanging="360"/>
      </w:pPr>
      <w:rPr>
        <w:rFonts w:ascii="Symbol" w:hAnsi="Symbol" w:hint="default"/>
      </w:rPr>
    </w:lvl>
    <w:lvl w:ilvl="8" w:tplc="37BCAAE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0"/>
  </w:num>
  <w:num w:numId="4">
    <w:abstractNumId w:val="5"/>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il">
    <w15:presenceInfo w15:providerId="None" w15:userId="G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31"/>
    <w:rsid w:val="000460CE"/>
    <w:rsid w:val="00061196"/>
    <w:rsid w:val="0008588D"/>
    <w:rsid w:val="000E1853"/>
    <w:rsid w:val="000F112C"/>
    <w:rsid w:val="001351B1"/>
    <w:rsid w:val="00145E31"/>
    <w:rsid w:val="00247FFA"/>
    <w:rsid w:val="00272DE0"/>
    <w:rsid w:val="002953A9"/>
    <w:rsid w:val="002C1129"/>
    <w:rsid w:val="002D4B4A"/>
    <w:rsid w:val="00376883"/>
    <w:rsid w:val="003A7048"/>
    <w:rsid w:val="00413632"/>
    <w:rsid w:val="00443A92"/>
    <w:rsid w:val="004473C9"/>
    <w:rsid w:val="00515F7A"/>
    <w:rsid w:val="00553B70"/>
    <w:rsid w:val="00557C21"/>
    <w:rsid w:val="00572E68"/>
    <w:rsid w:val="005C5947"/>
    <w:rsid w:val="0066637C"/>
    <w:rsid w:val="00686230"/>
    <w:rsid w:val="006E19D3"/>
    <w:rsid w:val="00744514"/>
    <w:rsid w:val="00771377"/>
    <w:rsid w:val="007A64DB"/>
    <w:rsid w:val="00801138"/>
    <w:rsid w:val="00824A69"/>
    <w:rsid w:val="008A2E87"/>
    <w:rsid w:val="0090137B"/>
    <w:rsid w:val="009C3320"/>
    <w:rsid w:val="009E20F6"/>
    <w:rsid w:val="00A0583A"/>
    <w:rsid w:val="00A2232E"/>
    <w:rsid w:val="00AF53C3"/>
    <w:rsid w:val="00AF6DB9"/>
    <w:rsid w:val="00B91B70"/>
    <w:rsid w:val="00BC4B78"/>
    <w:rsid w:val="00C028CE"/>
    <w:rsid w:val="00C11FF5"/>
    <w:rsid w:val="00C60D1A"/>
    <w:rsid w:val="00C81524"/>
    <w:rsid w:val="00CF372D"/>
    <w:rsid w:val="00D1156A"/>
    <w:rsid w:val="00D245D1"/>
    <w:rsid w:val="00D36CC0"/>
    <w:rsid w:val="00DE1376"/>
    <w:rsid w:val="00DE390E"/>
    <w:rsid w:val="00E015EC"/>
    <w:rsid w:val="00E41521"/>
    <w:rsid w:val="00E97889"/>
    <w:rsid w:val="00EA0186"/>
    <w:rsid w:val="00F81DC1"/>
    <w:rsid w:val="00F82A3B"/>
    <w:rsid w:val="00F85131"/>
    <w:rsid w:val="00F90F2D"/>
    <w:rsid w:val="00FE5EFF"/>
    <w:rsid w:val="00FF5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377"/>
    <w:rPr>
      <w:rFonts w:ascii="Tahoma" w:hAnsi="Tahoma" w:cs="Tahoma"/>
      <w:sz w:val="16"/>
      <w:szCs w:val="16"/>
    </w:rPr>
  </w:style>
  <w:style w:type="character" w:customStyle="1" w:styleId="BalloonTextChar">
    <w:name w:val="Balloon Text Char"/>
    <w:basedOn w:val="DefaultParagraphFont"/>
    <w:link w:val="BalloonText"/>
    <w:uiPriority w:val="99"/>
    <w:semiHidden/>
    <w:rsid w:val="00771377"/>
    <w:rPr>
      <w:rFonts w:ascii="Tahoma" w:hAnsi="Tahoma" w:cs="Tahoma"/>
      <w:sz w:val="16"/>
      <w:szCs w:val="16"/>
    </w:rPr>
  </w:style>
  <w:style w:type="paragraph" w:styleId="ListParagraph">
    <w:name w:val="List Paragraph"/>
    <w:basedOn w:val="Normal"/>
    <w:uiPriority w:val="34"/>
    <w:qFormat/>
    <w:rsid w:val="00771377"/>
    <w:pPr>
      <w:ind w:left="720"/>
      <w:contextualSpacing/>
    </w:pPr>
  </w:style>
  <w:style w:type="character" w:styleId="CommentReference">
    <w:name w:val="annotation reference"/>
    <w:basedOn w:val="DefaultParagraphFont"/>
    <w:uiPriority w:val="99"/>
    <w:semiHidden/>
    <w:unhideWhenUsed/>
    <w:rsid w:val="00FE5EFF"/>
    <w:rPr>
      <w:sz w:val="16"/>
      <w:szCs w:val="16"/>
    </w:rPr>
  </w:style>
  <w:style w:type="paragraph" w:styleId="CommentText">
    <w:name w:val="annotation text"/>
    <w:basedOn w:val="Normal"/>
    <w:link w:val="CommentTextChar"/>
    <w:uiPriority w:val="99"/>
    <w:semiHidden/>
    <w:unhideWhenUsed/>
    <w:rsid w:val="00FE5EFF"/>
    <w:rPr>
      <w:sz w:val="20"/>
      <w:szCs w:val="20"/>
    </w:rPr>
  </w:style>
  <w:style w:type="character" w:customStyle="1" w:styleId="CommentTextChar">
    <w:name w:val="Comment Text Char"/>
    <w:basedOn w:val="DefaultParagraphFont"/>
    <w:link w:val="CommentText"/>
    <w:uiPriority w:val="99"/>
    <w:semiHidden/>
    <w:rsid w:val="00FE5EFF"/>
    <w:rPr>
      <w:sz w:val="20"/>
      <w:szCs w:val="20"/>
    </w:rPr>
  </w:style>
  <w:style w:type="paragraph" w:styleId="CommentSubject">
    <w:name w:val="annotation subject"/>
    <w:basedOn w:val="CommentText"/>
    <w:next w:val="CommentText"/>
    <w:link w:val="CommentSubjectChar"/>
    <w:uiPriority w:val="99"/>
    <w:semiHidden/>
    <w:unhideWhenUsed/>
    <w:rsid w:val="00FE5EFF"/>
    <w:rPr>
      <w:b/>
      <w:bCs/>
    </w:rPr>
  </w:style>
  <w:style w:type="character" w:customStyle="1" w:styleId="CommentSubjectChar">
    <w:name w:val="Comment Subject Char"/>
    <w:basedOn w:val="CommentTextChar"/>
    <w:link w:val="CommentSubject"/>
    <w:uiPriority w:val="99"/>
    <w:semiHidden/>
    <w:rsid w:val="00FE5E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377"/>
    <w:rPr>
      <w:rFonts w:ascii="Tahoma" w:hAnsi="Tahoma" w:cs="Tahoma"/>
      <w:sz w:val="16"/>
      <w:szCs w:val="16"/>
    </w:rPr>
  </w:style>
  <w:style w:type="character" w:customStyle="1" w:styleId="BalloonTextChar">
    <w:name w:val="Balloon Text Char"/>
    <w:basedOn w:val="DefaultParagraphFont"/>
    <w:link w:val="BalloonText"/>
    <w:uiPriority w:val="99"/>
    <w:semiHidden/>
    <w:rsid w:val="00771377"/>
    <w:rPr>
      <w:rFonts w:ascii="Tahoma" w:hAnsi="Tahoma" w:cs="Tahoma"/>
      <w:sz w:val="16"/>
      <w:szCs w:val="16"/>
    </w:rPr>
  </w:style>
  <w:style w:type="paragraph" w:styleId="ListParagraph">
    <w:name w:val="List Paragraph"/>
    <w:basedOn w:val="Normal"/>
    <w:uiPriority w:val="34"/>
    <w:qFormat/>
    <w:rsid w:val="00771377"/>
    <w:pPr>
      <w:ind w:left="720"/>
      <w:contextualSpacing/>
    </w:pPr>
  </w:style>
  <w:style w:type="character" w:styleId="CommentReference">
    <w:name w:val="annotation reference"/>
    <w:basedOn w:val="DefaultParagraphFont"/>
    <w:uiPriority w:val="99"/>
    <w:semiHidden/>
    <w:unhideWhenUsed/>
    <w:rsid w:val="00FE5EFF"/>
    <w:rPr>
      <w:sz w:val="16"/>
      <w:szCs w:val="16"/>
    </w:rPr>
  </w:style>
  <w:style w:type="paragraph" w:styleId="CommentText">
    <w:name w:val="annotation text"/>
    <w:basedOn w:val="Normal"/>
    <w:link w:val="CommentTextChar"/>
    <w:uiPriority w:val="99"/>
    <w:semiHidden/>
    <w:unhideWhenUsed/>
    <w:rsid w:val="00FE5EFF"/>
    <w:rPr>
      <w:sz w:val="20"/>
      <w:szCs w:val="20"/>
    </w:rPr>
  </w:style>
  <w:style w:type="character" w:customStyle="1" w:styleId="CommentTextChar">
    <w:name w:val="Comment Text Char"/>
    <w:basedOn w:val="DefaultParagraphFont"/>
    <w:link w:val="CommentText"/>
    <w:uiPriority w:val="99"/>
    <w:semiHidden/>
    <w:rsid w:val="00FE5EFF"/>
    <w:rPr>
      <w:sz w:val="20"/>
      <w:szCs w:val="20"/>
    </w:rPr>
  </w:style>
  <w:style w:type="paragraph" w:styleId="CommentSubject">
    <w:name w:val="annotation subject"/>
    <w:basedOn w:val="CommentText"/>
    <w:next w:val="CommentText"/>
    <w:link w:val="CommentSubjectChar"/>
    <w:uiPriority w:val="99"/>
    <w:semiHidden/>
    <w:unhideWhenUsed/>
    <w:rsid w:val="00FE5EFF"/>
    <w:rPr>
      <w:b/>
      <w:bCs/>
    </w:rPr>
  </w:style>
  <w:style w:type="character" w:customStyle="1" w:styleId="CommentSubjectChar">
    <w:name w:val="Comment Subject Char"/>
    <w:basedOn w:val="CommentTextChar"/>
    <w:link w:val="CommentSubject"/>
    <w:uiPriority w:val="99"/>
    <w:semiHidden/>
    <w:rsid w:val="00FE5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cags.c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11434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Rutherford</dc:creator>
  <cp:lastModifiedBy>Lise Benoit</cp:lastModifiedBy>
  <cp:revision>2</cp:revision>
  <cp:lastPrinted>2016-07-15T16:55:00Z</cp:lastPrinted>
  <dcterms:created xsi:type="dcterms:W3CDTF">2016-08-03T18:37:00Z</dcterms:created>
  <dcterms:modified xsi:type="dcterms:W3CDTF">2016-08-03T18:37:00Z</dcterms:modified>
</cp:coreProperties>
</file>